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90D" w:rsidRDefault="00634C41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E7490D" w:rsidRDefault="00634C41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E7490D" w:rsidRDefault="00634C41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E7490D" w:rsidRDefault="00634C41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E7490D" w:rsidRDefault="00E7490D">
      <w:pPr>
        <w:suppressAutoHyphens/>
        <w:jc w:val="center"/>
      </w:pPr>
    </w:p>
    <w:p w:rsidR="00E7490D" w:rsidRDefault="00634C41">
      <w:pPr>
        <w:suppressAutoHyphens/>
        <w:ind w:left="5387"/>
      </w:pPr>
      <w:r>
        <w:t>УТВЕРЖДАЮ</w:t>
      </w:r>
    </w:p>
    <w:p w:rsidR="00E7490D" w:rsidRDefault="00634C41">
      <w:pPr>
        <w:suppressAutoHyphens/>
        <w:ind w:left="5387"/>
      </w:pPr>
      <w:r>
        <w:t>Директор ЮТИ ТПУ</w:t>
      </w:r>
    </w:p>
    <w:p w:rsidR="00E7490D" w:rsidRDefault="00634C41">
      <w:pPr>
        <w:suppressAutoHyphens/>
        <w:ind w:left="5387"/>
      </w:pPr>
      <w:r>
        <w:t>___________ С. А. Солодский</w:t>
      </w:r>
    </w:p>
    <w:p w:rsidR="00E7490D" w:rsidRDefault="00634C41">
      <w:pPr>
        <w:suppressAutoHyphens/>
        <w:ind w:left="5387"/>
      </w:pPr>
      <w:r>
        <w:t>«___»_____________2024 г.</w:t>
      </w:r>
    </w:p>
    <w:p w:rsidR="00E7490D" w:rsidRDefault="00E7490D">
      <w:pPr>
        <w:suppressAutoHyphens/>
        <w:ind w:left="6381"/>
      </w:pPr>
    </w:p>
    <w:p w:rsidR="00E7490D" w:rsidRDefault="00634C41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E7490D" w:rsidRDefault="00634C41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E7490D" w:rsidRDefault="00634C41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E7490D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E7490D" w:rsidRDefault="00E7490D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rPr>
                <w:b/>
              </w:rPr>
            </w:pPr>
            <w:r>
              <w:t>20.03.01 Техносферная безопасность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90D" w:rsidRDefault="00634C41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490D" w:rsidRDefault="00634C41">
            <w:pPr>
              <w:suppressAutoHyphens/>
              <w:jc w:val="center"/>
              <w:rPr>
                <w:b/>
              </w:rPr>
            </w:pPr>
            <w:r>
              <w:t xml:space="preserve">с </w:t>
            </w:r>
            <w:r w:rsidR="00C32044">
              <w:t>35</w:t>
            </w:r>
            <w:r>
              <w:t xml:space="preserve"> по</w:t>
            </w:r>
            <w:r w:rsidR="00C32044">
              <w:t>38</w:t>
            </w:r>
            <w:bookmarkStart w:id="0" w:name="_GoBack"/>
            <w:bookmarkEnd w:id="0"/>
            <w:r>
              <w:t xml:space="preserve">  неделю 2027/2028 учебного года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90D" w:rsidRDefault="00634C41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</w:pPr>
            <w:r>
              <w:t>8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90D" w:rsidRDefault="00634C41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center"/>
            </w:pPr>
            <w:r>
              <w:t>6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center"/>
            </w:pPr>
            <w:r>
              <w:t>4</w:t>
            </w:r>
          </w:p>
        </w:tc>
      </w:tr>
      <w:tr w:rsidR="00E7490D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7490D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</w:pPr>
            <w:r>
              <w:t>*</w:t>
            </w:r>
          </w:p>
        </w:tc>
      </w:tr>
      <w:tr w:rsidR="00E7490D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</w:pPr>
            <w:r>
              <w:t>**</w:t>
            </w:r>
          </w:p>
        </w:tc>
      </w:tr>
      <w:tr w:rsidR="00E7490D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suppressAutoHyphens/>
              <w:jc w:val="center"/>
            </w:pPr>
            <w:r>
              <w:t>216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E7490D" w:rsidRDefault="00E7490D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90D" w:rsidRDefault="00E7490D">
            <w:pPr>
              <w:suppressAutoHyphens/>
              <w:jc w:val="center"/>
              <w:rPr>
                <w:b/>
              </w:rPr>
            </w:pP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0D" w:rsidRDefault="00634C41">
            <w:pPr>
              <w:suppressAutoHyphens/>
              <w:jc w:val="center"/>
            </w:pPr>
            <w:r>
              <w:t>ОЦТиБ</w:t>
            </w:r>
          </w:p>
        </w:tc>
      </w:tr>
    </w:tbl>
    <w:p w:rsidR="00E7490D" w:rsidRDefault="00E749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490D" w:rsidRDefault="00E7490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490D" w:rsidRDefault="00E7490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rPr>
                <w:b/>
              </w:rPr>
            </w:pPr>
            <w:r>
              <w:t>Н. Ю. Луговцова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490D" w:rsidRDefault="00E7490D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</w:pPr>
            <w:r>
              <w:t>Н. Ю. Луговцова</w:t>
            </w:r>
          </w:p>
        </w:tc>
      </w:tr>
      <w:tr w:rsidR="00E7490D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7490D" w:rsidRDefault="00E7490D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490D" w:rsidRDefault="00634C41">
            <w:pPr>
              <w:suppressAutoHyphens/>
            </w:pPr>
            <w:r>
              <w:t>П. В. Родионов</w:t>
            </w:r>
          </w:p>
        </w:tc>
      </w:tr>
    </w:tbl>
    <w:p w:rsidR="00E7490D" w:rsidRDefault="00E7490D">
      <w:pPr>
        <w:suppressAutoHyphens/>
        <w:rPr>
          <w:iCs/>
          <w:sz w:val="20"/>
        </w:rPr>
      </w:pPr>
    </w:p>
    <w:p w:rsidR="00E7490D" w:rsidRDefault="00E7490D">
      <w:pPr>
        <w:pStyle w:val="1"/>
        <w:suppressAutoHyphens/>
        <w:sectPr w:rsidR="00E7490D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7490D" w:rsidRDefault="00634C41">
      <w:pPr>
        <w:pStyle w:val="1"/>
        <w:suppressAutoHyphens/>
      </w:pPr>
      <w:r>
        <w:lastRenderedPageBreak/>
        <w:t>Цели практики</w:t>
      </w:r>
    </w:p>
    <w:p w:rsidR="00E7490D" w:rsidRDefault="00634C41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E7490D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E7490D" w:rsidRDefault="00634C41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E7490D" w:rsidRDefault="00634C41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E7490D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E7490D" w:rsidRDefault="00E7490D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E7490D" w:rsidRDefault="00E7490D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 xml:space="preserve">Наименование 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планировать и документально оформлять природоохранную деятельность организации и деятельность в сфере безопасности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умение планировать и документально оформлять мероприятия по эксплуатации средств и систем защиты окружающей среды в организации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знаниями устройства, принципа действия и технических характеристик систем и средств защиты окружающей среды 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инструкции по эксплуатации средств и систем защиты окружающей среды 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нормативные правовые акты в области охраны окружающей среды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вести документацию по нормированию воздействия производственной деятельности организации на окружающую среду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знаниями определения размера санитарно-защитной зоны организации в соответствии с классификацией промышленных организаций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нормативные уровни допустимого негативного воздействия на окружающую среду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нормирования и согласования уровней допустимого негативного воздействия на окружающую среду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планировать и документально сопровождать деятельность по соблюдению или достижению нормативов допустимого воздействия на окружающую среду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и средствами охраны окружающей среды и обеспечения экологической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методическую документацию в области охраны окружающей среды для разработки программы производственного экологического контроля 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нормативных правовых актов в области охраны окружающей среды и требования государственных стандартов к программе производственного экологического контроля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деятельность по организации и проведению различных видов контроля в области техносферной безопасности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техносферной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1.1В3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аппаратом теории рядов, теории вероятностей и математической статистики для описания, анализа, теоретического и экспериментального исследования и моделирования инженерных задач, физических и химических явлений и процессов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аппаратом дифференциального и интегрального исчисления, методами решения обыкновенных </w:t>
            </w:r>
            <w:r>
              <w:rPr>
                <w:sz w:val="18"/>
                <w:szCs w:val="14"/>
              </w:rPr>
              <w:lastRenderedPageBreak/>
              <w:t>дифференциальных уравнений для описания, анализа, теоретического и экспериментального исследования и моделирования физических явлений и процессов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математическим аппаратом алгебры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1.1У3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теорию числовых и функциональных рядов, решать задачи теории вероятностей, применять инструменты математической статистики при решении естественно-научных и математических задач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аппарат дифференциального и интегрального исчисления, и выполнять основные действия над комплексными числами при решении инженерных задач, решать дифференциальные уравнения первого и высших порядков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1.1З3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законы и методы теории вероятностей и математической статистики, числовых и функциональных рядов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базовые понятия и методы дифференциального исчисления функции нескольких переменных и интегрального исчисления функции одной переменной, основные понятия комплексных чисел, основные методы </w:t>
            </w:r>
            <w:r>
              <w:rPr>
                <w:sz w:val="18"/>
                <w:szCs w:val="14"/>
              </w:rPr>
              <w:lastRenderedPageBreak/>
              <w:t>решения обыкновенных дифференциальных уравнений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дискуссии в профессиональной деятельности.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этикетные нормы и протоколы официальных мероприятий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проведения испытаний по определению структуры, физико-механических и эксплуатационных свойств используемых материалов и готовых изделий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фазовые превращения, при нагревании и охлаждении металлов, проводить металлографический анализ и определять свойства сталей, чугунов, цветных металлов и сплавов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группы и классы современных материалов, их свойства и области применения, принципы выбора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ориентироваться в основных нормативно-правовых актах в области метрологии, стандартизации и сертификации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применения нормативных документов по метрологии, стандартизации и сертификации; методами определения точности измерений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измерения и обрабатывать результаты; разрабатывать нормативную документацию по сертификации; учитывать нормативно-правовые требования в области метрологии, стандартизации и сертификации; применять действующие стандарты, положения и инструкции по оформлению технической документации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1.14З1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метрологии; принципов построения и правил использования стандартов, комплексов стандартов, документации по сертификации; нормативно-правовых основ по стандартизации и сертификации, общей теории измерений и взаимозаменяемости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химических процессов и применяет основные законы химии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химических процессов и явлений, анализа и обработки экспериментальных данных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количественные расчеты и выявлять закономерности протекания химических процессов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законы химии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закономерностей протекания химических реакций и реакционной способности неорганических и некоторых органи</w:t>
            </w:r>
            <w:r>
              <w:rPr>
                <w:sz w:val="18"/>
                <w:szCs w:val="14"/>
              </w:rPr>
              <w:lastRenderedPageBreak/>
              <w:t>ческих веществ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планирования и проведения экспериментальных исследований для изучения свойств неорганических соеди</w:t>
            </w:r>
            <w:r>
              <w:rPr>
                <w:sz w:val="18"/>
                <w:szCs w:val="14"/>
              </w:rPr>
              <w:lastRenderedPageBreak/>
              <w:t>нений, анализа и обобщения экспериментальных данных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закономерности протекания химических реакций между веществами неорганической и органической природы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законы электрохимических процессов, способы получения и химические свойства неорганических и некоторых органических соединений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планирования и проведения физических исследований в области физики  адекватными экспериментальными методами,  оценки точности и погрешности измерений, анализа полученных результатов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фундаментальные законы физики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правил по разработке текстовой, и графической документации в соответствии с нормативными требованиями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методами решения инженерно-геометрических задач графическими способами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методами построения пространственных кривых для изображения линий пересечения поверхностей второго и четвертого порядка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определять кратчайшее расстояние между объектами в декартовой системе координат и отображать на плоскости </w:t>
            </w:r>
            <w:r>
              <w:rPr>
                <w:sz w:val="18"/>
                <w:szCs w:val="14"/>
              </w:rPr>
              <w:lastRenderedPageBreak/>
              <w:t>фигуры трехмерного пространства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позиционные и метрические задачи различными способами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построения на плоскости пространственных форм и объектов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теоретические основы и закономерности построения и чтения чертежей геометрических объектов методы построения на плоскости пространственных форм и объектов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готовность к разработке чертежно-технической документации, оформлению законченных проектно-конструкторских работ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1.6В2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приемами проектирования в графическом пакете компьютерной графики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1.6У2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конструкторские работы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в области инженерного проектирования, основные положения ЕСКД и ЕСТД, стадии разработки конструкторской и технологической документации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теоретические задачи, используя основные законы термогазодинамики, и гидромеханики;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в гидрогазодинамике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теоретические задачи, используя основные законы термогазодинамики, и гидромеханики; проводить гидромеханические расчеты аппаратов и про</w:t>
            </w:r>
            <w:r>
              <w:rPr>
                <w:sz w:val="18"/>
                <w:szCs w:val="14"/>
              </w:rPr>
              <w:lastRenderedPageBreak/>
              <w:t>цессов в техносфере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1.7З1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законы термодинамики, и гидромеханики, принципы построения и функционирования гидравлических систем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теоретического и экспериментального исследования в механике, использования методов теоретической механики, теории механизмов и машин, сопротивления материалов, деталей машин и основ конструирования при решении практических задач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анализа и синтеза исполнительных механизмов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1.8З1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теоретические задачи, используя основные законы электротехники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в электротехнике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принципы построения, анализа и эксплуатации электрических сетей, электрооборудования и электронных приборов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1.9З1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законы электротехники, принципы построения и функционирования электрических машин, цепей и электронных схем.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функционирование системы управления охраной труда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организовать подготовку работников в области охраны труда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нормативными правовыми актами при осуществлении надзора и 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к порядку обучения по охране труда и 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управления охраной труда на предприятии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законодательной и нормативной документацией по вопросам управления техносферной безопасностью, производить инструментальную оценку уровней вредных и опасных факторов производственной среды и среды обитания, степень напряженности и тяжести труда (деятельности); производить оценку и анализ рисков технологических процессов и производств, а также других видов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организации управления охраной труда и безопасностью труда на предприятиях, в учреждениях и муни</w:t>
            </w:r>
            <w:r>
              <w:rPr>
                <w:sz w:val="18"/>
                <w:szCs w:val="14"/>
              </w:rPr>
              <w:lastRenderedPageBreak/>
              <w:t>ципальных образованиях; принципов управления, функций управления, задач управления и механизмов их решения в системе управления охраной труда в техносфере; методов организации информационных потоков в области управления безопасностью труда в техносфере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ОПК(У)-2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источников и последствий загрязнения биосферы; принципов рационального природопользования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защиты природной среды для выбора, разработки и эксплуатации средств защиты, расчета социально-экономической эффективности защитных мероприятий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законодательную и нормативно-техническую документацию, регулирующую охрану природной среды; методы теоретического и экспериментального исследования в экологии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механизмы воздействия техносферы на компоненты биосферы, основы планирования и организации работ по созданию систем экологического менеджмента региона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в области безопасного проведения аварийно-спасательных работ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аварийно-спасательных работ с применением гидравлического, электрического и пневматического аварийно-спасательного инструмента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организовывать планирование аварийно-спасательных работ и вести практические работы по поиску пострадавших с применением различных средств поиска и спасения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проведения аварийно- спасательных работ при различных чрезвычайных ситуациях природного и техно</w:t>
            </w:r>
            <w:r>
              <w:rPr>
                <w:sz w:val="18"/>
                <w:szCs w:val="14"/>
              </w:rPr>
              <w:lastRenderedPageBreak/>
              <w:t>генного характера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работы по подготовке отчетной документации в области экологии промышленного предприятия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подготовки отчетной статистической документации по охране окружающей среды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экологические проблемы в своей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комплекс работ по охране окружающей среды на предприятии, порядок взаимодействия с надзорными органами в области экологической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ориентироваться в основных методах и системах обеспечения техносферной безопасности, обоснованно выбирать известные устройства, системы и методы защиты человека и окружающей среды от опасностей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системами безопасности и приборами контроля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повышения надежности систем путем различных способов резервирования, основными понятиями и характеристиками инженерных рисков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производить расчет надежности сложной технической системы, предварительную оценку техногенных рисков и строить на ее основе дерево рисков, оценивать «слабые звенья» системы на основе анализа дерева рисков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обеспечения безопасности на опасных производственных объектах и современные средства защиты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методы расчета надежности сложных систем монотонной структуры, методы повышения надежности систем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источников опасностей био- и техносферы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терминологией науки об опасностях, методами описания источников и зон влияния опасностей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приборы и средства контроля выбросов производств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измерения уровней опасностей на производстве и в окружающей среде, используя современную измерительную технику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анализа взаимодействия человека и его деятельности со средой обитания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2.6З1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специфику и механизмы токсического действия вредных веществ, энергетического воздействия и комбинированного действия негативных факторов на человека и природную среду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работы по профилактике несчастных случаев на предприятиях, по оказанию первой помощи пострадавшим при ЧС на акваториях, а также в местах массового пребывания людей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Оказывает пострадавшему первую помощь и транспортировку, руководит действиями по спасению при ЧС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практическими навыками решения организационных и управленческих вопросов при организации оказания первой (медицинской) помощи в нестандартных ситуациях и чрезвычайных условиях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основные поражения в ЧС; оказывать первую помощь пораженным в 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характеристики и механизмы негативного воздействия на человека основных поражающих факторов источников ЧС; способов поражений организма человека в 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действующей системы нормативно-правовых актов в области техносферной безопасности; системы управления безопасностью в техносфере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работать с электронными базами с нормативно-правовыми актами.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действующую систему нормативно-правовых актов в области техносферной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действующие нормативные правовые акты для решения задач обеспечения безопасности объектов защиты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состояния безопасности на производстве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законодательной и нормативной документацией по вопросам надзора и контроля в сфере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организацию надзора и контроля в сфере безопасности, органы государственного надзора, их права и обязанности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первичные действия по локализации и ликвидации последствий аварий на ОПО и оказание первой помощи пострадавшим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Оказывает первую помощь пострадавшим при авариях и катастрофах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алгоритмами оказания первой помощи пострадавшим в различных видах 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Обеспечивать и поддерживать постоянную готовность аварийно-спасательных формирований к оказанию первой (медицинской) помощи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Требования нормативных и правовых актов РФ по организации и функционированию медицинской службы Гражданской обороны (МС ГО) и Всероссийской службы медицины катастроф (ВСМК) в ЧС мирного и военного времени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использовать их для решения задач профессио</w:t>
            </w:r>
            <w:r>
              <w:rPr>
                <w:sz w:val="18"/>
                <w:szCs w:val="14"/>
              </w:rPr>
              <w:lastRenderedPageBreak/>
              <w:t>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безопасности, понимание </w:t>
            </w:r>
            <w:r>
              <w:rPr>
                <w:sz w:val="18"/>
                <w:szCs w:val="14"/>
              </w:rPr>
              <w:lastRenderedPageBreak/>
              <w:t>принципов работы современных информационных технологий  и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использования современных информационных технологий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работы современных информационных технологий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классы программного обеспечения и средств информационных технологий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понятия и определения систем; структуру и общие свойства систем; методики анализа целей и функций систем управления; базовые математические методы, применяемые в системном анализе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основными этапами проведения интеллектуального анализа данных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современными программными инструментами для анализа данных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написания программ для плат Arduino и Raspberry Pi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4.5У1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тушение пожаров и проведение аварийно-спасательных работ при пожарах в населенных пунктах и на объектах в составе отделения дежурного караула пожарной части на основной пожарной технике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Руководит деятельностью отделения пожарной части при тушении пожара и проведении аварийно-спасательных работ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Навыками работы на аппаратах и средствах защиты; простыми способами, определяющими функциональное состояние человека (физическое и психическое); навыками оказания первой медицинской помощи пострадавшим в конкретных условиях производства, иных видов среды обитания; навыками оценки тяжести воздействия ОПФ и ВПФ на организм человека.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Руководить действиями по оказанию первой помощи пострадавшему в соответствии с универсальной схемой оказания первой помощи до оказания медицинской помощи на месте происшествия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Медико-биологические показатели основных физиологических систем организма человека; правил оказания первой медицинской помощи пострадавшим от воздействия ОПФ и ВПФ и их правовых аспектов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и контролировать выполнение мероприятий по противопожарной защите объекта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Анализирует и контролирует наличие системы обеспечения пожарной безопасности объекта защиты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системами безопасности и приборами контроля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средства защиты от отрицательных воздействий; разрабатывать мероприятия по повышению безопас</w:t>
            </w:r>
            <w:r>
              <w:rPr>
                <w:sz w:val="18"/>
                <w:szCs w:val="14"/>
              </w:rPr>
              <w:lastRenderedPageBreak/>
              <w:t>ности производственной деятельности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организационно-технические мероприятия по устранению причин возгорания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6.1З2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пожарной безопасности с учетом специфики объекта защиты, опасные факторы пожара и средства пожаротушения, используемые на объекте защиты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организует на объекте защиты систему обеспечения пожарной безопасности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организации и руководства процессом пожарной безопасности технологических процессов на производстве, контроля соблюдения пожарной безопасности на производстве.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анализ пожарной опасности технологических процессов; проводить расчеты по определению категорий помещений и зданий по взрывопожарной и пожарной опасности;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пожаро-взрывоопасных производств, анализа пожарной безопасности технологического оборудования действующего производства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исследование проектной документации в части, касающейся соблюдения требований пожарной безопасности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описания и обоснования принятых конструктивных и объемно-планировочных решений, степеней огнестойкости и классов конструктивной пожарной опасности строительных конструкций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обосновывать противопожарные расстояния между зданиями, сооружениями и наружными установками, обеспечивающие пожарную безопасность объектов капитального строительства, сведения о категории зданий, сооружений, помещений, оборудования и наружных установок по признаку взрывопожарной и пожарной 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требования Технического регламента о пожарной безопасности зданий и сооружений; методы обеспечения требуемого уровня огнестойкости, методы огнезащиты и материалы, применяемые для огнезащиты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ПК(У)-7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противопожарный режим на объекте защиты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пожарно-профилактическую работу на объекте защиты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мер по обеспечению безопасности технологического оборудования, по производственной и противоаварийной автоматике, автоматической пожарной защиты, нормативными документы, регламентирующими разработку, производство, применение, проектирование и эксплуатацию систем безопасности;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организовывать и руководить установкой, использованием и обслуживанием производственной противоаварийной автоматикой на предприятиях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основные понятия теории автоматического регулирования, принципы работы и правила установки автоматических системы противоаварийной защиты, основные функции и характеристики противоаварийных средств защиты, приемно-контрольных </w:t>
            </w:r>
            <w:r>
              <w:rPr>
                <w:sz w:val="18"/>
                <w:szCs w:val="14"/>
              </w:rPr>
              <w:lastRenderedPageBreak/>
              <w:t>приборов систем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ПК(У)-8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мероприятия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планирование мероприятий по гражданской обороне и действий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прогнозирования и оценки обстановки, определения основных направлений и мероприятий по повышению системы жизнеобеспечения при воздействии на них природных стихийных явлений; информацией о перспективных отечественных и зарубежных научных исследованиях по прогнозированию и предупреждению возможных природных стихийных явлений.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и организовывать эффективную защиту от стихийных бедствий в конкретных условиях, поддерживать связь с местными органами власти, различными учреждениями и средствами массовой информации для проведения организационной и разъяснительной работы по обеспечению защиты от неблагоприятных и опасных природных явлений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опасности, связанные с опасными природными явлениями; методы и средства прогноза и оценки опасных природных явлений; методы и средства защиты человека, объектов экономики и среды обитания от опасных природных процессов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оповещение работников предприятия при угрозе возникновения и возникновении военных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организации устойчивой связи для оперативного управления в условиях ЧС, разрабатывать рабочие документы по организации связи и оповещения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основные тактико-технические возможности систем связи и оповещения; органи</w:t>
            </w:r>
            <w:r>
              <w:rPr>
                <w:sz w:val="18"/>
                <w:szCs w:val="14"/>
              </w:rPr>
              <w:lastRenderedPageBreak/>
              <w:t>зовывать своевременную и устойчивую связь в звеньях управления РСЧС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организацию связи и оповещения в РСЧС, назначение связи в органах управления МЧС; основные понятия и определения связи; принципы построения систем связи и оповещения. Состав, назначение и основные тактико-технические данные средств связи и оповещения; Принципы организации связи и оповещения в РСЧС, управлениях по делам ГОЧС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Планирует мероприятия по гражданской обороне и действия по предупреждению и ликвидации чрезвычайных ситуаций в организации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навыком разработки плановых документов по подготовке и ведению гражданской обороны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действующие нормативные правовые акты для решения задач обеспечения безопасности объектов защиты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плановые правовые документы по подготовке и ведению гражданской обороны субъекта РФ и муниципального образования обороны 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Создает запасы материально-технических средств в целях гражданской обороны и резервы финансовых и материальных ресурсов для ликвидации чрезвычайных ситуаций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документов, регламентирующих материально- техническое обеспечение сил РСЧС и ГО в условиях чрезвычайных ситуаций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определять и обосновывать на основе анализа рисков аварий и чрезвычайных ситуаций и масштабов их развития номенклатуру и объемы запасов материально-технических средств в целях гражданской обороны исходя их принципов необходимой достаточности;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нормативно-правовые акты о порядке определения номенклатуры и объемов запасов материально-технических средств в целях гражданской обороны и резервов финансовых и материальных ресурсов для ликвидации чрезвычайных ситуаций, о порядке накопления, хранения и использования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оценку риска и прогнозирование возникновения природных и техногенных ЧС и их последствия для производственных объектов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анализом прогнозируемых видов  и масштабов аварий и чрезвычайных ситуаций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оценку рисков возникновения аварий и чрезвычайных ситуаций и прогнозирует масштабы их развития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8.5З1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методики оценки рисков возникновения аварий и чрезвычайных ситуаций и прогнозирование масштабов их развития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ПК(У)-9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разрабатывать решения по гражданской обороне и защите от чрезвычайных ситуаций в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проводит комплекс организационно-технических мероприятий по защите работников и материальных ценностей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законодательными документами и подзаконными нормативными правовыми актами в области промышленной безопасности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идентифицировать опасные производственные объекты с целью обязательного страхования гражданской ответственности за причинение вреда при их эксплуатации, разрабатывать паспорта безопасности  опасных объектов, эксплуатируемых организацией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лицензирования, сертификации проведения экспертизы объектов, основы порядка про</w:t>
            </w:r>
            <w:r>
              <w:rPr>
                <w:sz w:val="18"/>
                <w:szCs w:val="14"/>
              </w:rPr>
              <w:lastRenderedPageBreak/>
              <w:t>ведения технического расследования причин аварий; порядок осуществления регистрации, лицензирования и производственного контроля за соблюдением требований промышленной безопасности на ОПО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повышение устойчивости функционирования эксплуатируемых объектов организации от опасностей, возникающих при военных конфликтах или вследствие этих конфликтов и чрезвычайных ситуаций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ежегодных и перспективных плановых документов по повышению устойчивости функционирования объектов организации в условиях опасностей, возникающих при военных конфликтах или вследствие этих конфликтов и чрезвычайных ситуаций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плановые документы по вопросам повышения устойчивости функционирования объектов организации, по наращиванию мероприятий по повышению устойчивости функционирования организации, анализировать результаты проведения исследований устойчивости функционирования объектов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мероприятия гражданской обороны, направленные на повышение устойчивости функционирования объектов организации, методы, способы и средства обеспечения устойчивости энергоснабжения объектов организации, методологию проведения исследований устойчивости функционирования технологического оборудования, объектов и производственного процесса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Организует создание, подготовку и поддержание в готовности органов </w:t>
            </w:r>
            <w:r>
              <w:rPr>
                <w:sz w:val="18"/>
                <w:szCs w:val="14"/>
              </w:rPr>
              <w:lastRenderedPageBreak/>
              <w:t>управления гражданской обороной и РСЧС на объектовом уровне организации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управления силам и средствами РСЧС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локальные нормативные акты о постоянно действующем органе управления РСЧС на объектовом уровне организации, координировать работу органов управления в различных режимах функционирования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9.3З1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организации и функционирования РСЧС, режимы функционирования органов управления и сил РСЧС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создание, подготовку и поддержание в готовности к действиям по назначению сил гражданской обороны и специально подготовленных сил организации, предназначенных и привлекаемых для предупреждения и ликвидации ЧС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организационными навыками по защите сил РСЧС и ГО, населения и территорий в вопросах пожарной, радиационной, химической защиты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локальные нормативные акты о спасательных службах гражданской обороны, внештатных аварийно-спасательных формированиях и внештатных формированиях по обеспечению выполнения мероприятий по гражданской обороне организации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9.4З1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объем и характер задач, выполняемых организацией в соответствии с плановыми документами по ведению гражданской обороны, нормативные правовые акты о порядке организации и функционирования сил РСЧС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ПК(У)-10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обеспечить готовность аварийно-спасательных средств и техники для выполнения аварийно-спасательных работ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организовывает и проводит техническое обслуживание, ремонт, консервацию и хранение техники и средств защиты, контролирует состояние используемых средств защиты, принимает решения по замене (регенерации) средства защиты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на различных образцах спасательной техники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организовывать эксплуатацию, обслуживание спасательной техники и базовых машин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назначение, технические характеристики и устройства основных образцов спасательной техники и базовых машин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ПК(У)-11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организовывать и выполнять действия по локализации и ликвидации последствий химических и радиационных аварий на ОПО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проведения работ по локализации и ликвидации последствий радиационной и химической аварии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анализа информации и синтеза полученных данных для разработки решения руководителя работ по ликвидации последствий радиационного загрязнения, и химического заражения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методики по прогнозированию и оценке радиационной и химической обстановки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содержание мероприятий радиационной, и химической защиты систему своевременного обнаружения. Источники радиоактивного облучения, химической и биологической опасности персонала и населения, основы применения средств выявления радиационной и, химической обстановки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ПК(У)-12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руководить органами управления гражданской обороны РСЧС на объектовом уровне организации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проведение анализа состояния гражданской обороны, действий по предупреждению и ликвидации чрезвычайных ситуаций, эффективности и достаточности принимаемых мер, направленных на защиту работников в организации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аварийно- спасательных работ с применением гидравлического, электрического и пневматического аварийно- спасательного инструмента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действия сил гражданской обороны и специально подготовленных сил организации, предназначенных и привлекаемых для предупреждения и ликвидации чрезвычайных ситуаций при проведении аварийно-спасательных и других неотложных работ в условиях чрезвычайной ситуации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особенности проведения аварийно-спасательных работ при различных чрезвычайных ситуациях природного и техногенного характера</w:t>
            </w:r>
          </w:p>
        </w:tc>
      </w:tr>
      <w:tr w:rsidR="00E7490D">
        <w:trPr>
          <w:trHeight w:val="735"/>
        </w:trPr>
        <w:tc>
          <w:tcPr>
            <w:tcW w:w="1336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ПК(У)-13</w:t>
            </w:r>
          </w:p>
        </w:tc>
        <w:tc>
          <w:tcPr>
            <w:tcW w:w="1397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осуществлять проведение аварийно-спасательных </w:t>
            </w:r>
            <w:r>
              <w:rPr>
                <w:sz w:val="18"/>
                <w:szCs w:val="14"/>
              </w:rPr>
              <w:lastRenderedPageBreak/>
              <w:t>работ в населенных пунктах и на объектах при авариях и ЧС</w:t>
            </w:r>
          </w:p>
        </w:tc>
        <w:tc>
          <w:tcPr>
            <w:tcW w:w="1520" w:type="dxa"/>
            <w:vMerge w:val="restart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</w:t>
            </w:r>
          </w:p>
        </w:tc>
        <w:tc>
          <w:tcPr>
            <w:tcW w:w="2208" w:type="dxa"/>
            <w:vMerge w:val="restart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Организует действия по тушению пожара и проведению аварийно-спасательных работ при ЧС природного и техно</w:t>
            </w:r>
            <w:r>
              <w:rPr>
                <w:sz w:val="18"/>
                <w:szCs w:val="14"/>
              </w:rPr>
              <w:lastRenderedPageBreak/>
              <w:t>генного характера</w:t>
            </w: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13.1В1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принципами и методами подготовки и выполнения предупредительных, аварийно-спасательных и </w:t>
            </w:r>
            <w:r>
              <w:rPr>
                <w:sz w:val="18"/>
                <w:szCs w:val="14"/>
              </w:rPr>
              <w:lastRenderedPageBreak/>
              <w:t>восстановительных работ применительно к природным ЧС разной тяжести на уровне области, района, города, предприятия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13.1У1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организовать оценку природного риска, выбор оптимального комплекса мер защиты, выполнение аварийно- восстановительных работ при ЧС природного происхождения на уровне от области до предприятия; планировать и организовывать эффективную защиту от стихийных бедствий в конкретных условиях</w:t>
            </w:r>
          </w:p>
        </w:tc>
      </w:tr>
      <w:tr w:rsidR="00E7490D">
        <w:trPr>
          <w:trHeight w:val="735"/>
        </w:trPr>
        <w:tc>
          <w:tcPr>
            <w:tcW w:w="1336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E7490D" w:rsidRDefault="00E7490D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E7490D" w:rsidRDefault="00E7490D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E7490D" w:rsidRDefault="00634C4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13.1З1</w:t>
            </w:r>
          </w:p>
        </w:tc>
        <w:tc>
          <w:tcPr>
            <w:tcW w:w="1933" w:type="dxa"/>
            <w:vAlign w:val="center"/>
          </w:tcPr>
          <w:p w:rsidR="00E7490D" w:rsidRDefault="00634C41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порядок и правила проведения всех этапов боевого развертывания сил и средств, технологию проведения аварийно-спасательных работ</w:t>
            </w:r>
          </w:p>
        </w:tc>
      </w:tr>
    </w:tbl>
    <w:p w:rsidR="00E7490D" w:rsidRDefault="00634C41">
      <w:pPr>
        <w:pStyle w:val="1"/>
      </w:pPr>
      <w:r>
        <w:t>Место практики в структуре ОПОП</w:t>
      </w:r>
    </w:p>
    <w:p w:rsidR="00E7490D" w:rsidRDefault="00634C41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E7490D" w:rsidRDefault="00E7490D">
      <w:pPr>
        <w:pStyle w:val="afff0"/>
        <w:suppressAutoHyphens/>
      </w:pPr>
    </w:p>
    <w:p w:rsidR="00E7490D" w:rsidRDefault="00634C41">
      <w:pPr>
        <w:pStyle w:val="1"/>
        <w:suppressAutoHyphens/>
      </w:pPr>
      <w:r>
        <w:t>Вид практики, способ, форма и место ее проведения</w:t>
      </w:r>
    </w:p>
    <w:p w:rsidR="00E7490D" w:rsidRDefault="00634C41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производственная практика</w:t>
      </w:r>
      <w:bookmarkEnd w:id="1"/>
    </w:p>
    <w:p w:rsidR="00E7490D" w:rsidRDefault="00634C41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преддипломная практика</w:t>
      </w:r>
      <w:bookmarkEnd w:id="2"/>
    </w:p>
    <w:p w:rsidR="00E7490D" w:rsidRDefault="00634C4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3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E7490D" w:rsidRDefault="00634C41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E7490D" w:rsidRDefault="00634C41">
      <w:pPr>
        <w:pStyle w:val="a5"/>
        <w:suppressAutoHyphens/>
      </w:pPr>
      <w:r>
        <w:t>Стационарная;</w:t>
      </w:r>
    </w:p>
    <w:p w:rsidR="00E7490D" w:rsidRDefault="00634C41">
      <w:pPr>
        <w:pStyle w:val="a5"/>
        <w:suppressAutoHyphens/>
      </w:pPr>
      <w:r>
        <w:t>Выездная.</w:t>
      </w:r>
    </w:p>
    <w:p w:rsidR="00E7490D" w:rsidRDefault="00634C41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E7490D" w:rsidRDefault="00634C41">
      <w:pPr>
        <w:pStyle w:val="a5"/>
        <w:suppressAutoHyphens/>
      </w:pPr>
      <w:r>
        <w:t>Структурные подразделения университета;</w:t>
      </w:r>
    </w:p>
    <w:p w:rsidR="00E7490D" w:rsidRDefault="00634C41">
      <w:pPr>
        <w:pStyle w:val="a5"/>
        <w:suppressAutoHyphens/>
      </w:pPr>
      <w:r>
        <w:t>Профильные организации.</w:t>
      </w:r>
    </w:p>
    <w:p w:rsidR="00E7490D" w:rsidRDefault="00634C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E7490D" w:rsidRDefault="00E7490D">
      <w:pPr>
        <w:pStyle w:val="afff0"/>
        <w:suppressAutoHyphens/>
      </w:pPr>
    </w:p>
    <w:p w:rsidR="00E7490D" w:rsidRDefault="00634C41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E7490D" w:rsidRDefault="00634C41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E7490D">
        <w:tc>
          <w:tcPr>
            <w:tcW w:w="7963" w:type="dxa"/>
            <w:gridSpan w:val="2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Индикатор достижения компетенции</w:t>
            </w:r>
          </w:p>
        </w:tc>
      </w:tr>
      <w:tr w:rsidR="00E7490D">
        <w:tc>
          <w:tcPr>
            <w:tcW w:w="807" w:type="dxa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E7490D" w:rsidRDefault="00E7490D">
            <w:pPr>
              <w:pStyle w:val="afffd"/>
              <w:rPr>
                <w:sz w:val="14"/>
              </w:rPr>
            </w:pPr>
          </w:p>
        </w:tc>
      </w:tr>
      <w:tr w:rsidR="00E7490D">
        <w:trPr>
          <w:trHeight w:val="412"/>
        </w:trPr>
        <w:tc>
          <w:tcPr>
            <w:tcW w:w="807" w:type="dxa"/>
            <w:vAlign w:val="center"/>
          </w:tcPr>
          <w:p w:rsidR="00E7490D" w:rsidRDefault="00634C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РП-1</w:t>
            </w:r>
          </w:p>
        </w:tc>
        <w:tc>
          <w:tcPr>
            <w:tcW w:w="7156" w:type="dxa"/>
            <w:vAlign w:val="center"/>
          </w:tcPr>
          <w:p w:rsidR="00E7490D" w:rsidRDefault="00634C4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</w:t>
            </w:r>
          </w:p>
        </w:tc>
        <w:tc>
          <w:tcPr>
            <w:tcW w:w="1676" w:type="dxa"/>
            <w:vAlign w:val="center"/>
          </w:tcPr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</w:tc>
      </w:tr>
      <w:tr w:rsidR="00E7490D">
        <w:trPr>
          <w:trHeight w:val="412"/>
        </w:trPr>
        <w:tc>
          <w:tcPr>
            <w:tcW w:w="807" w:type="dxa"/>
            <w:vAlign w:val="center"/>
          </w:tcPr>
          <w:p w:rsidR="00E7490D" w:rsidRDefault="00634C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E7490D" w:rsidRDefault="00634C4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</w:t>
            </w:r>
          </w:p>
        </w:tc>
        <w:tc>
          <w:tcPr>
            <w:tcW w:w="1676" w:type="dxa"/>
            <w:vAlign w:val="center"/>
          </w:tcPr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И.ОПК(У)-2.5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</w:tc>
      </w:tr>
      <w:tr w:rsidR="00E7490D">
        <w:trPr>
          <w:trHeight w:val="412"/>
        </w:trPr>
        <w:tc>
          <w:tcPr>
            <w:tcW w:w="807" w:type="dxa"/>
            <w:vAlign w:val="center"/>
          </w:tcPr>
          <w:p w:rsidR="00E7490D" w:rsidRDefault="00634C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E7490D" w:rsidRDefault="00634C4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</w:t>
            </w:r>
          </w:p>
        </w:tc>
        <w:tc>
          <w:tcPr>
            <w:tcW w:w="1676" w:type="dxa"/>
            <w:vAlign w:val="center"/>
          </w:tcPr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И.ОПК(У)-1.5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И.ОПК(У)-1.6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И.ОПК(У)-1.7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И.ОПК(У)-1.8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И.ОПК(У)-1.9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И.ОПК(У)-4.5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</w:tc>
      </w:tr>
      <w:tr w:rsidR="00E7490D">
        <w:trPr>
          <w:trHeight w:val="412"/>
        </w:trPr>
        <w:tc>
          <w:tcPr>
            <w:tcW w:w="807" w:type="dxa"/>
            <w:vAlign w:val="center"/>
          </w:tcPr>
          <w:p w:rsidR="00E7490D" w:rsidRDefault="00634C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РП-4</w:t>
            </w:r>
          </w:p>
        </w:tc>
        <w:tc>
          <w:tcPr>
            <w:tcW w:w="7156" w:type="dxa"/>
            <w:vAlign w:val="center"/>
          </w:tcPr>
          <w:p w:rsidR="00E7490D" w:rsidRDefault="00634C4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план мероприятий по обеспечению безопасности людей в случае техногенной аварии</w:t>
            </w:r>
          </w:p>
        </w:tc>
        <w:tc>
          <w:tcPr>
            <w:tcW w:w="1676" w:type="dxa"/>
            <w:vAlign w:val="center"/>
          </w:tcPr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  <w:tr w:rsidR="00E7490D">
        <w:trPr>
          <w:trHeight w:val="412"/>
        </w:trPr>
        <w:tc>
          <w:tcPr>
            <w:tcW w:w="807" w:type="dxa"/>
            <w:vAlign w:val="center"/>
          </w:tcPr>
          <w:p w:rsidR="00E7490D" w:rsidRDefault="00634C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E7490D" w:rsidRDefault="00634C41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6" w:type="dxa"/>
            <w:vAlign w:val="center"/>
          </w:tcPr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И.ОПК(У)-1.10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И.ОПК(У)-2.6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И.ПК(У)-8.5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И.ПК(У)-9.2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И.ПК(У)-9.3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И.ПК(У)-9.4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И.ПК(У)-10.1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И.ПК(У)-11.1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И.ПК(У)-12.1</w:t>
            </w:r>
          </w:p>
          <w:p w:rsidR="00E7490D" w:rsidRDefault="00634C4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И.ПК(У)-13.1</w:t>
            </w:r>
          </w:p>
        </w:tc>
      </w:tr>
    </w:tbl>
    <w:p w:rsidR="00E7490D" w:rsidRDefault="00634C41">
      <w:pPr>
        <w:pStyle w:val="1"/>
        <w:suppressAutoHyphens/>
      </w:pPr>
      <w:r>
        <w:lastRenderedPageBreak/>
        <w:t>Структура и содержание практики</w:t>
      </w:r>
    </w:p>
    <w:p w:rsidR="00E7490D" w:rsidRDefault="00634C41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E7490D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№</w:t>
            </w:r>
          </w:p>
          <w:p w:rsidR="00E7490D" w:rsidRDefault="00634C41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Этапы практики</w:t>
            </w:r>
          </w:p>
          <w:p w:rsidR="00E7490D" w:rsidRDefault="00634C41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E7490D" w:rsidRDefault="00634C41">
            <w:pPr>
              <w:pStyle w:val="afffd"/>
            </w:pPr>
            <w:r>
              <w:t>Формируемый результат обучения</w:t>
            </w:r>
          </w:p>
        </w:tc>
      </w:tr>
      <w:tr w:rsidR="00E7490D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E7490D" w:rsidRDefault="00E7490D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E7490D" w:rsidRDefault="00E7490D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E7490D" w:rsidRDefault="00E7490D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7490D">
        <w:tc>
          <w:tcPr>
            <w:tcW w:w="939" w:type="dxa"/>
          </w:tcPr>
          <w:p w:rsidR="00E7490D" w:rsidRDefault="00634C4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7490D">
        <w:tc>
          <w:tcPr>
            <w:tcW w:w="939" w:type="dxa"/>
          </w:tcPr>
          <w:p w:rsidR="00E7490D" w:rsidRDefault="00634C4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</w:tcPr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 для выполнения выпускной квалификационной работы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7490D">
        <w:tc>
          <w:tcPr>
            <w:tcW w:w="939" w:type="dxa"/>
          </w:tcPr>
          <w:p w:rsidR="00E7490D" w:rsidRDefault="00634C4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:rsidR="00E7490D" w:rsidRDefault="00634C41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</w:tcPr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E7490D" w:rsidRDefault="00634C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E7490D" w:rsidRDefault="00634C41">
      <w:pPr>
        <w:pStyle w:val="1"/>
        <w:suppressAutoHyphens/>
      </w:pPr>
      <w:r>
        <w:t>Формы отчетности по практике</w:t>
      </w:r>
    </w:p>
    <w:p w:rsidR="00E7490D" w:rsidRDefault="00634C41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E7490D" w:rsidRDefault="00634C41">
      <w:pPr>
        <w:pStyle w:val="a5"/>
        <w:suppressAutoHyphens/>
      </w:pPr>
      <w:r>
        <w:t>дневник обучающегося по практике;</w:t>
      </w:r>
    </w:p>
    <w:p w:rsidR="00E7490D" w:rsidRDefault="00634C41">
      <w:pPr>
        <w:pStyle w:val="a5"/>
        <w:suppressAutoHyphens/>
      </w:pPr>
      <w:r>
        <w:t>отчет о практике.</w:t>
      </w:r>
    </w:p>
    <w:p w:rsidR="00E7490D" w:rsidRDefault="00634C41">
      <w:pPr>
        <w:pStyle w:val="1"/>
        <w:suppressAutoHyphens/>
      </w:pPr>
      <w:r>
        <w:t>Промежуточная аттестация</w:t>
      </w:r>
    </w:p>
    <w:p w:rsidR="00E7490D" w:rsidRDefault="00634C41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E7490D" w:rsidRDefault="00634C41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E7490D" w:rsidRDefault="00634C41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E7490D" w:rsidRDefault="00634C41">
      <w:pPr>
        <w:pStyle w:val="2"/>
        <w:suppressAutoHyphens/>
      </w:pPr>
      <w:r>
        <w:t>Учебно-методическое обеспечение</w:t>
      </w:r>
    </w:p>
    <w:p w:rsidR="00E7490D" w:rsidRDefault="00634C41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E7490D" w:rsidRDefault="00634C41">
      <w:pPr>
        <w:pStyle w:val="a2"/>
        <w:jc w:val="both"/>
      </w:pPr>
      <w:r>
        <w:t>Производственная безопасность : учебное пособие / под ред. А. А. Попова2-е изд., испр. — Санкт-Петербург : Лань, 2019. — 432 с. : ил. — (Учебники для вузов. Специальная литература). –</w:t>
      </w:r>
    </w:p>
    <w:p w:rsidR="00E7490D" w:rsidRDefault="00634C41">
      <w:pPr>
        <w:pStyle w:val="a2"/>
        <w:jc w:val="both"/>
      </w:pPr>
      <w:r>
        <w:t>Акинин, Н. И. Экологическая безопасность. Принципы, технические решения, нормативно-правовая база : учебное пособие / Н. И. Акинин3-е изд., перераб. и доп. — Долгопрудный : Интеллект, 2019. — 286 с. : ил.. –</w:t>
      </w:r>
    </w:p>
    <w:p w:rsidR="00E7490D" w:rsidRDefault="00634C41">
      <w:pPr>
        <w:pStyle w:val="a2"/>
        <w:jc w:val="both"/>
      </w:pPr>
      <w:r>
        <w:t>Родионова, О. М. Медико-биологические основы безопасности. Охрана труда : учебник для спо / О. М. Родионова,  Е. В. Аникина,  Б. И. Лавер,  Д. А. Семенов.3-е изд. — Москва : Юрайт, 2024. — 599 с. — (Профессиональное образование).. – URL: https://urait.ru/bcode/538055</w:t>
      </w:r>
    </w:p>
    <w:p w:rsidR="00E7490D" w:rsidRDefault="00634C41">
      <w:pPr>
        <w:pStyle w:val="a2"/>
        <w:jc w:val="both"/>
      </w:pPr>
      <w:r>
        <w:lastRenderedPageBreak/>
        <w:t>Сафонов, А. А. Охрана труда : учебник и практикум для вузов / А. А. Сафонов,  М. А. Сафонова.Москва : Юрайт, 2024. — 485 с. — (Высшее образование).. – URL: https://urait.ru/bcode/544985</w:t>
      </w:r>
    </w:p>
    <w:p w:rsidR="00E7490D" w:rsidRDefault="00634C41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E7490D" w:rsidRDefault="00634C41">
      <w:pPr>
        <w:pStyle w:val="a2"/>
        <w:jc w:val="both"/>
      </w:pPr>
      <w:r>
        <w:t>Сибикин, Ю. Д. Охрана труда и электробезопасность / Ю. Д. Сибикин2-е изд., стер. — Москва : РадиоСофт, 2011. — 408 с. : ил.. –</w:t>
      </w:r>
    </w:p>
    <w:p w:rsidR="00E7490D" w:rsidRDefault="00634C41">
      <w:pPr>
        <w:pStyle w:val="a2"/>
        <w:jc w:val="both"/>
      </w:pPr>
      <w:r>
        <w:t>Беляков, Г. И. Организация работ по охране труда и производственная санитария : учебник для вузов / Г. И. Беляков.5-е изд. — Москва : Юрайт, 2024. — 353 с. — (Высшее образование).. – URL: https://urait.ru/bcode/535813</w:t>
      </w:r>
    </w:p>
    <w:p w:rsidR="00E7490D" w:rsidRDefault="00634C41">
      <w:pPr>
        <w:pStyle w:val="2"/>
        <w:suppressAutoHyphens/>
      </w:pPr>
      <w:r>
        <w:t>Информационное и программное обеспечение</w:t>
      </w:r>
    </w:p>
    <w:p w:rsidR="00E7490D" w:rsidRDefault="00634C41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E7490D" w:rsidRDefault="00634C41">
      <w:pPr>
        <w:pStyle w:val="a0"/>
        <w:suppressAutoHyphens/>
        <w:jc w:val="both"/>
      </w:pPr>
      <w:r>
        <w:t>Справочно-правовая система КонсультантПлюс. URL: p://www.consultant.ru/</w:t>
      </w:r>
    </w:p>
    <w:p w:rsidR="00E7490D" w:rsidRDefault="00634C41">
      <w:pPr>
        <w:pStyle w:val="a0"/>
        <w:suppressAutoHyphens/>
        <w:jc w:val="both"/>
      </w:pPr>
      <w:r>
        <w:t>Официальный сайт МЧС России. URL: : https://www.mchs.gov.ru/</w:t>
      </w:r>
    </w:p>
    <w:p w:rsidR="00E7490D" w:rsidRDefault="00E7490D">
      <w:pPr>
        <w:pStyle w:val="afff0"/>
        <w:suppressAutoHyphens/>
      </w:pPr>
    </w:p>
    <w:p w:rsidR="00E7490D" w:rsidRDefault="00634C41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E7490D" w:rsidRDefault="00E7490D">
      <w:pPr>
        <w:pStyle w:val="afff0"/>
        <w:suppressAutoHyphens/>
        <w:rPr>
          <w:rFonts w:eastAsia="Cambria"/>
        </w:rPr>
      </w:pPr>
    </w:p>
    <w:p w:rsidR="00E7490D" w:rsidRDefault="00634C41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746BA4" w:rsidRDefault="00746BA4" w:rsidP="00746BA4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t>T-Flex CAD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t>Libre Office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t>Яндекс Документы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t>Яндекс Браузер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t>Яндекс Телемост</w:t>
      </w:r>
    </w:p>
    <w:p w:rsidR="00746BA4" w:rsidRDefault="00746BA4" w:rsidP="00746BA4">
      <w:pPr>
        <w:pStyle w:val="a4"/>
        <w:numPr>
          <w:ilvl w:val="0"/>
          <w:numId w:val="48"/>
        </w:numPr>
        <w:ind w:left="0" w:firstLine="709"/>
      </w:pPr>
      <w:r>
        <w:t xml:space="preserve">Adobe Reader </w:t>
      </w:r>
    </w:p>
    <w:p w:rsidR="00E7490D" w:rsidRDefault="00634C41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E7490D" w:rsidRDefault="00634C41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494"/>
        <w:gridCol w:w="5635"/>
      </w:tblGrid>
      <w:tr w:rsidR="00E7490D" w:rsidTr="0093532F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7490D" w:rsidRDefault="00634C4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7490D" w:rsidRDefault="00634C4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7490D" w:rsidRDefault="00634C41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E7490D" w:rsidTr="0093532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E7490D" w:rsidRDefault="00634C4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26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EC" w:rsidRDefault="00746BA4" w:rsidP="00746B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BE5F70">
              <w:rPr>
                <w:bCs/>
                <w:sz w:val="20"/>
                <w:szCs w:val="20"/>
              </w:rPr>
              <w:t>оска аудиторная настенная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E5F70">
              <w:rPr>
                <w:bCs/>
                <w:sz w:val="20"/>
                <w:szCs w:val="20"/>
              </w:rPr>
              <w:t>– 1 шт., стол, стул преподавателя – 1 шт.</w:t>
            </w:r>
            <w:r>
              <w:rPr>
                <w:bCs/>
                <w:sz w:val="20"/>
                <w:szCs w:val="20"/>
              </w:rPr>
              <w:t xml:space="preserve"> в</w:t>
            </w:r>
            <w:r w:rsidRPr="0079608D">
              <w:rPr>
                <w:bCs/>
                <w:sz w:val="20"/>
                <w:szCs w:val="20"/>
              </w:rPr>
              <w:t>идеопроектор – 1 шт., экран – 1 шт., персональный компьютер – 1 шт., колонки – 1 шт.</w:t>
            </w:r>
            <w:r w:rsidR="00DD64EC">
              <w:rPr>
                <w:bCs/>
                <w:sz w:val="20"/>
                <w:szCs w:val="20"/>
              </w:rPr>
              <w:t xml:space="preserve">, </w:t>
            </w:r>
            <w:r w:rsidR="00DD64EC">
              <w:rPr>
                <w:rFonts w:eastAsia="Calibri"/>
                <w:sz w:val="20"/>
              </w:rPr>
              <w:t>Комплект мебели на 28 посадочных мест.</w:t>
            </w:r>
          </w:p>
          <w:p w:rsidR="00E7490D" w:rsidRDefault="00746BA4" w:rsidP="00746BA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752835">
              <w:rPr>
                <w:bCs/>
                <w:sz w:val="20"/>
                <w:szCs w:val="20"/>
              </w:rPr>
              <w:t>Тренажер сердечно-легочной реанимации «Максим» в комплекте – 1 шт., компьютер к тренажеру «Максим» – 1 шт., шкаф с комплектом учебной литературы и наглядными пособиями – 15 шт., тренажер сердечно-легочной реанимации «Гоша» в комплекте – 1 шт., стенд АУПС (эл.) – 1 шт., стенд АУПТ (эл.) – 1 шт., элементы АУПС и АУПТ – 10 шт., приборы РХ разведки – 10 шт., комплект химика-разведчика – 1, ДК-4 – 1 шт., СИЗОД – 10 шт., плакат по проверке СИЗОД – 6 шт., СКЗ – 2 шт., стенд наглядный – 5 шт., БОП – 2 к-та., элементы ПТВ – 10 шт., элементы МТО – 20 шт., полевой комплект искусственной вентиляции легких – 1 шт., элементы альпинистского снаряжения – 7 шт., средства связи – 4 шт., мете комплект – 1 шт.</w:t>
            </w:r>
          </w:p>
        </w:tc>
      </w:tr>
      <w:tr w:rsidR="00E7490D" w:rsidTr="0093532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проектирования, консультаций, текущего контроля </w:t>
            </w:r>
            <w:r>
              <w:rPr>
                <w:rFonts w:eastAsia="Calibri"/>
                <w:sz w:val="22"/>
                <w:szCs w:val="22"/>
              </w:rPr>
              <w:lastRenderedPageBreak/>
              <w:t>и промежуточной аттестации (компьютерный класс)</w:t>
            </w:r>
          </w:p>
          <w:p w:rsidR="00E7490D" w:rsidRDefault="00634C41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552B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A35255">
              <w:rPr>
                <w:iCs/>
                <w:sz w:val="20"/>
                <w:szCs w:val="20"/>
                <w:shd w:val="clear" w:color="auto" w:fill="FFFFFF"/>
              </w:rPr>
              <w:lastRenderedPageBreak/>
              <w:t>Доска аудиторная настенная</w:t>
            </w:r>
            <w:r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– 1 шт., комплект учебной мебели на 26 посадочных мест, стол, стул преподавателя – 1 шт.</w:t>
            </w:r>
            <w:r>
              <w:rPr>
                <w:iCs/>
                <w:sz w:val="20"/>
                <w:szCs w:val="20"/>
                <w:shd w:val="clear" w:color="auto" w:fill="FFFFFF"/>
              </w:rPr>
              <w:t>, к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омпьютер – 12 шт., проектор – 1шт., экран – 1 шт.</w:t>
            </w:r>
          </w:p>
        </w:tc>
      </w:tr>
    </w:tbl>
    <w:p w:rsidR="00E7490D" w:rsidRDefault="00E7490D">
      <w:pPr>
        <w:pStyle w:val="afff0"/>
        <w:suppressAutoHyphens/>
      </w:pPr>
    </w:p>
    <w:p w:rsidR="00E7490D" w:rsidRDefault="00634C41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E7490D" w:rsidRDefault="00E7490D">
      <w:pPr>
        <w:pStyle w:val="afff0"/>
        <w:suppressAutoHyphens/>
      </w:pPr>
    </w:p>
    <w:p w:rsidR="00E7490D" w:rsidRDefault="00634C41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E7490D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7490D" w:rsidRDefault="00634C4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7490D" w:rsidRDefault="00634C4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7490D" w:rsidRDefault="00634C4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E7490D" w:rsidRDefault="00634C4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E749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по делам гражданской обороны и чрезвычайным ситуациям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11/8 от 14.08.2020г. Срок действия бессрочно</w:t>
            </w:r>
          </w:p>
        </w:tc>
      </w:tr>
      <w:tr w:rsidR="00E749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«Единая дежурно-диспетчерская служба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</w:t>
            </w:r>
          </w:p>
        </w:tc>
      </w:tr>
      <w:tr w:rsidR="00E7490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0D" w:rsidRDefault="00634C41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19.08.2020г. Срок действия бессрочно</w:t>
            </w:r>
          </w:p>
        </w:tc>
      </w:tr>
    </w:tbl>
    <w:p w:rsidR="00E7490D" w:rsidRDefault="00E7490D">
      <w:pPr>
        <w:pStyle w:val="afff0"/>
        <w:suppressAutoHyphens/>
      </w:pPr>
    </w:p>
    <w:p w:rsidR="00E7490D" w:rsidRDefault="00634C41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Техносферная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E7490D" w:rsidRDefault="00E7490D">
      <w:pPr>
        <w:pStyle w:val="afff0"/>
        <w:suppressAutoHyphens/>
      </w:pPr>
    </w:p>
    <w:p w:rsidR="00E7490D" w:rsidRDefault="00634C41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7490D">
        <w:tc>
          <w:tcPr>
            <w:tcW w:w="3213" w:type="dxa"/>
            <w:shd w:val="clear" w:color="auto" w:fill="F2F2F2"/>
            <w:vAlign w:val="center"/>
          </w:tcPr>
          <w:p w:rsidR="00E7490D" w:rsidRDefault="00634C4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7490D" w:rsidRDefault="00634C4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E7490D" w:rsidRDefault="00634C41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E7490D">
        <w:tc>
          <w:tcPr>
            <w:tcW w:w="3213" w:type="dxa"/>
          </w:tcPr>
          <w:p w:rsidR="00E7490D" w:rsidRDefault="00634C4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E7490D" w:rsidRDefault="00E7490D"/>
        </w:tc>
        <w:tc>
          <w:tcPr>
            <w:tcW w:w="3213" w:type="dxa"/>
          </w:tcPr>
          <w:p w:rsidR="00E7490D" w:rsidRDefault="00634C4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Ю. Луговцова</w:t>
            </w:r>
          </w:p>
        </w:tc>
      </w:tr>
      <w:tr w:rsidR="00E7490D">
        <w:tc>
          <w:tcPr>
            <w:tcW w:w="3213" w:type="dxa"/>
          </w:tcPr>
          <w:p w:rsidR="00E7490D" w:rsidRDefault="00634C4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E7490D" w:rsidRDefault="00E7490D"/>
        </w:tc>
        <w:tc>
          <w:tcPr>
            <w:tcW w:w="3213" w:type="dxa"/>
          </w:tcPr>
          <w:p w:rsidR="00E7490D" w:rsidRDefault="00634C41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П. В. Родионов</w:t>
            </w:r>
          </w:p>
        </w:tc>
      </w:tr>
    </w:tbl>
    <w:p w:rsidR="00E7490D" w:rsidRDefault="00E7490D">
      <w:pPr>
        <w:pStyle w:val="afff3"/>
        <w:suppressAutoHyphens/>
      </w:pPr>
    </w:p>
    <w:p w:rsidR="00E7490D" w:rsidRDefault="00634C41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E7490D" w:rsidRDefault="00E7490D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E7490D">
        <w:tc>
          <w:tcPr>
            <w:tcW w:w="3544" w:type="dxa"/>
            <w:vAlign w:val="center"/>
          </w:tcPr>
          <w:p w:rsidR="00E7490D" w:rsidRDefault="00634C41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:rsidR="00E7490D" w:rsidRDefault="00E7490D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E7490D" w:rsidRDefault="00634C41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:rsidR="00E7490D" w:rsidRDefault="00E7490D">
      <w:pPr>
        <w:suppressAutoHyphens/>
        <w:jc w:val="both"/>
      </w:pPr>
    </w:p>
    <w:sectPr w:rsidR="00E7490D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880" w:rsidRDefault="00117880" w:rsidP="009A6764">
      <w:r>
        <w:separator/>
      </w:r>
    </w:p>
  </w:endnote>
  <w:endnote w:type="continuationSeparator" w:id="0">
    <w:p w:rsidR="00117880" w:rsidRDefault="00117880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90D" w:rsidRDefault="00634C41">
    <w:pPr>
      <w:pStyle w:val="ad"/>
      <w:jc w:val="center"/>
    </w:pPr>
    <w:r>
      <w:t>2024 г.</w:t>
    </w:r>
  </w:p>
  <w:p w:rsidR="00E7490D" w:rsidRDefault="00E7490D">
    <w:pPr>
      <w:pStyle w:val="ad"/>
      <w:jc w:val="center"/>
    </w:pPr>
  </w:p>
  <w:p w:rsidR="00E7490D" w:rsidRDefault="00634C41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:rsidR="00E7490D" w:rsidRDefault="00634C41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880" w:rsidRDefault="00117880">
      <w:r>
        <w:separator/>
      </w:r>
    </w:p>
  </w:footnote>
  <w:footnote w:type="continuationSeparator" w:id="0">
    <w:p w:rsidR="00117880" w:rsidRDefault="0011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90D" w:rsidRDefault="00E7490D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90D" w:rsidRDefault="00E749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880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BB4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4C41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BA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32F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044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4EC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90D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60BF2"/>
  <w15:docId w15:val="{D7240053-8184-4A35-9D1E-E554D35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E814-BFEA-4EEE-891B-C74CB44E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30</Pages>
  <Words>7756</Words>
  <Characters>44215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44</cp:revision>
  <cp:lastPrinted>2019-08-16T04:20:00Z</cp:lastPrinted>
  <dcterms:created xsi:type="dcterms:W3CDTF">2022-03-28T17:12:00Z</dcterms:created>
  <dcterms:modified xsi:type="dcterms:W3CDTF">2025-11-15T20:13:00Z</dcterms:modified>
</cp:coreProperties>
</file>