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5198"/>
        <w:gridCol w:w="1327"/>
        <w:gridCol w:w="1395"/>
        <w:gridCol w:w="6650"/>
      </w:tblGrid>
      <w:tr>
        <w:trPr>
          <w:trHeight w:val="2324"/>
        </w:trPr>
        <w:tc>
          <w:tcPr>
            <w:cnfStyle w:val="101000000000"/>
            <w:tcW w:w="14570" w:type="dxa"/>
            <w:gridSpan w:val="4"/>
            <w:tcBorders>
              <w:top w:val="nil" w:sz="4" w:space="0"/>
              <w:left w:val="nil" w:sz="4" w:space="0"/>
              <w:bottom w:val="single" w:color="auto" w:sz="4" w:space="0"/>
              <w:right w:val="nil" w:sz="4" w:space="0"/>
            </w:tcBorders>
            <w:shd w:val="clear" w:color="auto" w:fill="auto"/>
            <w:vAlign w:val="bottom"/>
          </w:tcPr>
          <w:p w14:paraId="00000005">
            <w:pPr>
              <w:widowControl w:val="off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ФОНД ОЦЕНОЧНЫХ СРЕДСТВ ПО ПРАКТИКЕ</w:t>
            </w:r>
          </w:p>
          <w:p w14:paraId="00000006">
            <w:pPr>
              <w:spacing w:after="0" w:line="240" w:lineRule="auto"/>
              <w:jc w:val="center"/>
              <w:rPr>
                <w:rFonts w:eastAsia="MS Mincho"/>
                <w:b/>
                <w:szCs w:val="24"/>
              </w:rPr>
            </w:pPr>
            <w:r>
              <w:rPr>
                <w:rFonts w:eastAsia="MS Mincho"/>
                <w:b/>
                <w:szCs w:val="24"/>
              </w:rPr>
              <w:t>ПРИЕМ 2024 г.</w:t>
            </w:r>
          </w:p>
          <w:p w14:paraId="0000000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szCs w:val="24"/>
              </w:rPr>
            </w:pPr>
            <w:r>
              <w:rPr>
                <w:rFonts w:eastAsia="MS Mincho"/>
                <w:b/>
                <w:szCs w:val="24"/>
              </w:rPr>
              <w:t xml:space="preserve">ФОРМА ОБУЧЕНИЯ </w:t>
            </w:r>
            <w:r>
              <w:rPr>
                <w:rFonts w:eastAsia="MS Mincho"/>
                <w:b/>
                <w:szCs w:val="24"/>
                <w:u w:val="single"/>
              </w:rPr>
              <w:t>очно-заочная</w:t>
            </w:r>
          </w:p>
          <w:p w14:paraId="00000008">
            <w:pPr>
              <w:widowControl w:val="off"/>
              <w:spacing w:after="0" w:line="240" w:lineRule="auto"/>
              <w:jc w:val="center"/>
              <w:rPr>
                <w:szCs w:val="24"/>
              </w:rPr>
            </w:pPr>
          </w:p>
        </w:tc>
      </w:tr>
      <w:tr>
        <w:trPr/>
        <w:tc>
          <w:tcPr>
            <w:cnfStyle w:val="001000100000"/>
            <w:tcW w:w="5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09">
            <w:pPr>
              <w:widowControl w:val="off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Вид практики</w:t>
            </w:r>
          </w:p>
        </w:tc>
        <w:tc>
          <w:tcPr>
            <w:cnfStyle w:val="000000100000"/>
            <w:tcW w:w="9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0A">
            <w:pPr>
              <w:widowControl w:val="off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Учебная практика</w:t>
            </w:r>
          </w:p>
        </w:tc>
      </w:tr>
      <w:tr>
        <w:trPr/>
        <w:tc>
          <w:tcPr>
            <w:cnfStyle w:val="001000010000"/>
            <w:tcW w:w="5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0B">
            <w:pPr>
              <w:widowControl w:val="off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Тип практики</w:t>
            </w:r>
          </w:p>
        </w:tc>
        <w:tc>
          <w:tcPr>
            <w:cnfStyle w:val="000000010000"/>
            <w:tcW w:w="9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0C">
            <w:pPr>
              <w:widowControl w:val="off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bCs/>
                <w:szCs w:val="24"/>
              </w:rPr>
              <w:t>Учебная практика по развитию цифровых компетенций</w:t>
            </w:r>
          </w:p>
        </w:tc>
      </w:tr>
      <w:tr>
        <w:trPr>
          <w:trHeight w:val="567"/>
        </w:trPr>
        <w:tc>
          <w:tcPr>
            <w:cnfStyle w:val="001000100000"/>
            <w:tcW w:w="5198" w:type="dxa"/>
            <w:tcBorders>
              <w:top w:val="single" w:color="auto" w:sz="4" w:space="0"/>
              <w:left w:val="nil" w:sz="4" w:space="0"/>
              <w:bottom w:val="nil" w:sz="4" w:space="0"/>
              <w:right w:val="nil" w:sz="4" w:space="0"/>
            </w:tcBorders>
            <w:shd w:val="clear" w:color="auto" w:fill="auto"/>
          </w:tcPr>
          <w:p w14:paraId="0000000D">
            <w:pPr>
              <w:widowControl w:val="off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cnfStyle w:val="000000100000"/>
            <w:tcW w:w="9372" w:type="dxa"/>
            <w:gridSpan w:val="3"/>
            <w:tcBorders>
              <w:top w:val="single" w:color="auto" w:sz="4" w:space="0"/>
              <w:left w:val="nil" w:sz="4" w:space="0"/>
              <w:bottom w:val="single" w:color="auto" w:sz="2" w:space="0"/>
              <w:right w:val="nil" w:sz="4" w:space="0"/>
            </w:tcBorders>
            <w:shd w:val="clear" w:color="auto" w:fill="auto"/>
          </w:tcPr>
          <w:p w14:paraId="0000000E">
            <w:pPr>
              <w:widowControl w:val="off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>
        <w:trPr/>
        <w:tc>
          <w:tcPr>
            <w:cnfStyle w:val="001000010000"/>
            <w:tcW w:w="5198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0F">
            <w:pPr>
              <w:widowControl w:val="off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Направление подготовки</w:t>
            </w:r>
          </w:p>
        </w:tc>
        <w:tc>
          <w:tcPr>
            <w:cnfStyle w:val="000000010000"/>
            <w:tcW w:w="937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10">
            <w:pPr>
              <w:widowControl w:val="off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21.03.01 Нефтегазовое дело</w:t>
            </w:r>
          </w:p>
        </w:tc>
      </w:tr>
      <w:tr>
        <w:trPr/>
        <w:tc>
          <w:tcPr>
            <w:cnfStyle w:val="001000100000"/>
            <w:tcW w:w="5198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11">
            <w:pPr>
              <w:widowControl w:val="off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Основная профессиональная образовательная программа</w:t>
            </w:r>
          </w:p>
        </w:tc>
        <w:tc>
          <w:tcPr>
            <w:cnfStyle w:val="000000100000"/>
            <w:tcW w:w="937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0000012">
            <w:pPr>
              <w:widowControl w:val="off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Разработка и эксплуатация нефтяных и газовых месторождений</w:t>
            </w:r>
          </w:p>
        </w:tc>
      </w:tr>
      <w:tr>
        <w:trPr/>
        <w:tc>
          <w:tcPr>
            <w:cnfStyle w:val="001000010000"/>
            <w:tcW w:w="5198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13">
            <w:pPr>
              <w:widowControl w:val="off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Уровень образования</w:t>
            </w:r>
          </w:p>
        </w:tc>
        <w:tc>
          <w:tcPr>
            <w:cnfStyle w:val="000000010000"/>
            <w:tcW w:w="937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14">
            <w:pPr>
              <w:widowControl w:val="off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высшее образование – бакалавриат</w:t>
            </w:r>
          </w:p>
        </w:tc>
      </w:tr>
      <w:tr>
        <w:trPr/>
        <w:tc>
          <w:tcPr>
            <w:cnfStyle w:val="001000100000"/>
            <w:tcW w:w="5198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15">
            <w:pPr>
              <w:widowControl w:val="off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</w:p>
        </w:tc>
        <w:tc>
          <w:tcPr>
            <w:cnfStyle w:val="000000100000"/>
            <w:tcW w:w="937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16">
            <w:pPr>
              <w:widowControl w:val="off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>
        <w:trPr/>
        <w:tc>
          <w:tcPr>
            <w:cnfStyle w:val="001000010000"/>
            <w:tcW w:w="5198" w:type="dxa"/>
            <w:tcBorders>
              <w:top w:val="nil" w:sz="4" w:space="0"/>
              <w:left w:val="nil" w:sz="4" w:space="0"/>
              <w:bottom w:val="nil" w:sz="4" w:space="0"/>
              <w:right w:val="single" w:color="auto" w:sz="4" w:space="0"/>
            </w:tcBorders>
            <w:shd w:val="clear" w:color="auto" w:fill="auto"/>
          </w:tcPr>
          <w:p w14:paraId="00000017">
            <w:pPr>
              <w:widowControl w:val="off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Курс</w:t>
            </w:r>
          </w:p>
        </w:tc>
        <w:tc>
          <w:tcPr>
            <w:cnfStyle w:val="000000010000"/>
            <w:tcW w:w="1327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18">
            <w:pPr>
              <w:widowControl w:val="off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</w:t>
            </w:r>
          </w:p>
        </w:tc>
        <w:tc>
          <w:tcPr>
            <w:cnfStyle w:val="000000010000"/>
            <w:tcW w:w="139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shd w:val="clear" w:color="auto" w:fill="auto"/>
          </w:tcPr>
          <w:p w14:paraId="00000019">
            <w:pPr>
              <w:widowControl w:val="off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семестр</w:t>
            </w:r>
          </w:p>
        </w:tc>
        <w:tc>
          <w:tcPr>
            <w:cnfStyle w:val="000000010000"/>
            <w:tcW w:w="6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1A">
            <w:pPr>
              <w:widowControl w:val="off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</w:t>
            </w:r>
          </w:p>
        </w:tc>
      </w:tr>
      <w:tr>
        <w:trPr/>
        <w:tc>
          <w:tcPr>
            <w:cnfStyle w:val="001000100000"/>
            <w:tcW w:w="5198" w:type="dxa"/>
            <w:tcBorders>
              <w:top w:val="nil" w:sz="4" w:space="0"/>
              <w:left w:val="nil" w:sz="4" w:space="0"/>
              <w:bottom w:val="nil" w:sz="4" w:space="0"/>
              <w:right w:val="single" w:color="auto" w:sz="4" w:space="0"/>
            </w:tcBorders>
            <w:shd w:val="clear" w:color="auto" w:fill="auto"/>
          </w:tcPr>
          <w:p w14:paraId="0000001B">
            <w:pPr>
              <w:widowControl w:val="off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Трудоемкость в кредитах (зачетных единицах)</w:t>
            </w:r>
          </w:p>
        </w:tc>
        <w:tc>
          <w:tcPr>
            <w:cnfStyle w:val="000000100000"/>
            <w:tcW w:w="9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1C">
            <w:pPr>
              <w:widowControl w:val="off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</w:t>
            </w:r>
          </w:p>
        </w:tc>
      </w:tr>
      <w:tr>
        <w:trPr/>
        <w:tc>
          <w:tcPr>
            <w:cnfStyle w:val="001000010000"/>
            <w:tcW w:w="519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  <w:shd w:val="clear" w:color="auto" w:fill="auto"/>
          </w:tcPr>
          <w:p w14:paraId="0000001D">
            <w:pPr>
              <w:widowControl w:val="off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cnfStyle w:val="000000010000"/>
            <w:tcW w:w="9372" w:type="dxa"/>
            <w:gridSpan w:val="3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  <w:shd w:val="clear" w:color="auto" w:fill="auto"/>
          </w:tcPr>
          <w:p w14:paraId="0000001E">
            <w:pPr>
              <w:widowControl w:val="off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>
        <w:trPr/>
        <w:tc>
          <w:tcPr>
            <w:cnfStyle w:val="001000100000"/>
            <w:tcW w:w="519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  <w:shd w:val="clear" w:color="auto" w:fill="auto"/>
          </w:tcPr>
          <w:p w14:paraId="0000001F">
            <w:pPr>
              <w:widowControl w:val="off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cnfStyle w:val="000000100000"/>
            <w:tcW w:w="9372" w:type="dxa"/>
            <w:gridSpan w:val="3"/>
            <w:tcBorders>
              <w:top w:val="nil" w:sz="4" w:space="0"/>
              <w:left w:val="nil" w:sz="4" w:space="0"/>
              <w:bottom w:val="single" w:color="auto" w:sz="4" w:space="0"/>
              <w:right w:val="nil" w:sz="4" w:space="0"/>
            </w:tcBorders>
            <w:shd w:val="clear" w:color="auto" w:fill="auto"/>
          </w:tcPr>
          <w:p w14:paraId="00000020">
            <w:pPr>
              <w:widowControl w:val="off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>
        <w:trPr/>
        <w:tc>
          <w:tcPr>
            <w:cnfStyle w:val="001000010000"/>
            <w:tcW w:w="5198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  <w:vAlign w:val="center"/>
          </w:tcPr>
          <w:p w14:paraId="00000021">
            <w:pPr>
              <w:widowControl w:val="off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Calibri"/>
              </w:rPr>
              <w:t>Заведующий кафедрой - руководитель отделения на правах кафедры ОНД</w:t>
            </w:r>
          </w:p>
        </w:tc>
        <w:tc>
          <w:tcPr>
            <w:cnfStyle w:val="000000010000"/>
            <w:tcW w:w="272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22">
            <w:pPr>
              <w:widowControl w:val="off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cnfStyle w:val="000000010000"/>
            <w:tcW w:w="665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0000023">
            <w:pPr>
              <w:widowControl w:val="off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А. А. Лукин</w:t>
            </w:r>
          </w:p>
        </w:tc>
      </w:tr>
      <w:tr>
        <w:trPr/>
        <w:tc>
          <w:tcPr>
            <w:cnfStyle w:val="001000100000"/>
            <w:tcW w:w="5198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24">
            <w:pPr>
              <w:widowControl w:val="off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Руководитель ОПОП</w:t>
            </w:r>
          </w:p>
        </w:tc>
        <w:tc>
          <w:tcPr>
            <w:cnfStyle w:val="000000100000"/>
            <w:tcW w:w="272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25">
            <w:pPr>
              <w:widowControl w:val="off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cnfStyle w:val="000000100000"/>
            <w:tcW w:w="665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0000026">
            <w:pPr>
              <w:widowControl w:val="off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Ю.А. Максимова</w:t>
            </w:r>
          </w:p>
        </w:tc>
      </w:tr>
      <w:tr>
        <w:trPr/>
        <w:tc>
          <w:tcPr>
            <w:cnfStyle w:val="001000010000"/>
            <w:tcW w:w="5198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27">
            <w:pPr>
              <w:widowControl w:val="off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t>Преподаватель</w:t>
            </w:r>
          </w:p>
        </w:tc>
        <w:tc>
          <w:tcPr>
            <w:cnfStyle w:val="000000010000"/>
            <w:tcW w:w="272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28"/>
        </w:tc>
        <w:tc>
          <w:tcPr>
            <w:cnfStyle w:val="000000010000"/>
            <w:tcW w:w="665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0000029">
            <w:pPr>
              <w:widowControl w:val="off"/>
              <w:spacing w:after="0" w:line="240" w:lineRule="auto"/>
              <w:rPr>
                <w:rFonts w:eastAsia="Times New Roman"/>
                <w:szCs w:val="24"/>
                <w:vertAlign w:val="superscript"/>
              </w:rPr>
            </w:pPr>
            <w:r>
              <w:t>А.А. Лукин</w:t>
            </w:r>
          </w:p>
        </w:tc>
      </w:tr>
    </w:tbl>
    <w:p w14:paraId="0000002A">
      <w:pPr>
        <w:widowControl w:val="off"/>
        <w:spacing w:after="0" w:line="240" w:lineRule="auto"/>
        <w:jc w:val="center"/>
        <w:rPr>
          <w:rFonts w:eastAsia="Times New Roman"/>
          <w:szCs w:val="24"/>
        </w:rPr>
      </w:pPr>
    </w:p>
    <w:p w14:paraId="0000002B">
      <w:pPr>
        <w:widowControl w:val="off"/>
        <w:spacing w:after="0" w:line="240" w:lineRule="auto"/>
        <w:jc w:val="center"/>
        <w:rPr>
          <w:rFonts w:eastAsia="Times New Roman"/>
          <w:szCs w:val="24"/>
        </w:rPr>
      </w:pPr>
    </w:p>
    <w:p w14:paraId="0000002C">
      <w:pPr>
        <w:widowControl w:val="off"/>
        <w:spacing w:after="0" w:line="240" w:lineRule="auto"/>
        <w:jc w:val="center"/>
        <w:rPr>
          <w:rFonts w:eastAsia="Times New Roman"/>
          <w:szCs w:val="24"/>
        </w:rPr>
        <w:sectPr>
          <w:headerReference w:type="default" r:id="rId13"/>
          <w:footerReference w:type="first" r:id="rId14"/>
          <w:type w:val="continuous"/>
          <w:pgSz w:w="16838" w:h="11906" w:orient="landscape"/>
          <w:pgMar w:top="1134" w:right="1134" w:bottom="1134" w:left="1134" w:header="709" w:footer="709" w:gutter="0"/>
          <w:pgNumType w:start="1"/>
          <w:cols w:space="708"/>
          <w:titlePg/>
        </w:sectPr>
      </w:pPr>
      <w:r>
        <w:rPr>
          <w:rFonts w:eastAsia="Times New Roman"/>
          <w:szCs w:val="24"/>
        </w:rPr>
        <w:t>
</w:t>
      </w:r>
    </w:p>
    <w:p w14:paraId="0000002D">
      <w:pPr>
        <w:pStyle w:val="Heading1"/>
        <w:rPr/>
      </w:pPr>
      <w:r>
        <w:t>Роль практики в формировании компетенций выпускника</w:t>
      </w:r>
    </w:p>
    <w:tbl>
      <w:tblPr>
        <w:tblW w:w="1460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2053"/>
        <w:gridCol w:w="810"/>
        <w:gridCol w:w="1233"/>
        <w:gridCol w:w="2283"/>
        <w:gridCol w:w="1276"/>
        <w:gridCol w:w="2551"/>
        <w:gridCol w:w="1418"/>
        <w:gridCol w:w="2976"/>
      </w:tblGrid>
      <w:tr>
        <w:trPr>
          <w:trHeight w:val="373"/>
          <w:tblHeader w:val="on"/>
        </w:trPr>
        <w:tc>
          <w:tcPr>
            <w:cnfStyle w:val="101000000000"/>
            <w:tcW w:w="2053" w:type="dxa"/>
            <w:vMerge w:val="restart"/>
            <w:shd w:val="clear" w:color="auto" w:fill="ededed"/>
            <w:vAlign w:val="center"/>
          </w:tcPr>
          <w:p w14:paraId="0000002E">
            <w:pPr>
              <w:pStyle w:val="Шапка_табл"/>
              <w:rPr/>
            </w:pPr>
            <w:r>
              <w:t>Элемент образовательной программы (дисциплина, практика, ГИА)</w:t>
            </w:r>
          </w:p>
        </w:tc>
        <w:tc>
          <w:tcPr>
            <w:cnfStyle w:val="100000000000"/>
            <w:tcW w:w="810" w:type="dxa"/>
            <w:vMerge w:val="restart"/>
            <w:shd w:val="clear" w:color="auto" w:fill="ededed"/>
            <w:vAlign w:val="center"/>
          </w:tcPr>
          <w:p w14:paraId="0000002F">
            <w:pPr>
              <w:pStyle w:val="Шапка_табл"/>
              <w:rPr/>
            </w:pPr>
            <w:r>
              <w:t>Семестр</w:t>
            </w:r>
          </w:p>
        </w:tc>
        <w:tc>
          <w:tcPr>
            <w:cnfStyle w:val="100000000000"/>
            <w:tcW w:w="1233" w:type="dxa"/>
            <w:vMerge w:val="restart"/>
            <w:shd w:val="clear" w:color="auto" w:fill="ededed"/>
            <w:vAlign w:val="center"/>
          </w:tcPr>
          <w:p w14:paraId="00000030">
            <w:pPr>
              <w:pStyle w:val="Шапка_табл"/>
              <w:rPr/>
            </w:pPr>
            <w:r>
              <w:t>Код компетенции</w:t>
            </w:r>
          </w:p>
        </w:tc>
        <w:tc>
          <w:tcPr>
            <w:cnfStyle w:val="100000000000"/>
            <w:tcW w:w="2283" w:type="dxa"/>
            <w:vMerge w:val="restart"/>
            <w:shd w:val="clear" w:color="auto" w:fill="ededed"/>
            <w:vAlign w:val="center"/>
          </w:tcPr>
          <w:p w14:paraId="00000031">
            <w:pPr>
              <w:pStyle w:val="Шапка_табл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cnfStyle w:val="100000000000"/>
            <w:tcW w:w="3827" w:type="dxa"/>
            <w:gridSpan w:val="2"/>
            <w:shd w:val="clear" w:color="auto" w:fill="ededed"/>
            <w:vAlign w:val="center"/>
          </w:tcPr>
          <w:p w14:paraId="00000032">
            <w:pPr>
              <w:pStyle w:val="Шапка_табл"/>
              <w:rPr/>
            </w:pPr>
            <w:r>
              <w:t>Индикаторы достижения компетенций</w:t>
            </w:r>
          </w:p>
        </w:tc>
        <w:tc>
          <w:tcPr>
            <w:cnfStyle w:val="100000000000"/>
            <w:tcW w:w="4394" w:type="dxa"/>
            <w:gridSpan w:val="2"/>
            <w:shd w:val="clear" w:color="auto" w:fill="ededed"/>
            <w:vAlign w:val="center"/>
          </w:tcPr>
          <w:p w14:paraId="00000033">
            <w:pPr>
              <w:pStyle w:val="Шапка_табл"/>
              <w:rPr/>
            </w:pPr>
            <w:r>
              <w:t>Составляющие результатов освоения (дескрипторы компетенций)</w:t>
            </w:r>
          </w:p>
        </w:tc>
      </w:tr>
      <w:tr>
        <w:trPr>
          <w:trHeight w:val="417"/>
          <w:tblHeader w:val="on"/>
        </w:trPr>
        <w:tc>
          <w:tcPr>
            <w:cnfStyle w:val="001000100000"/>
            <w:tcW w:w="2053" w:type="dxa"/>
            <w:vMerge w:val="continue"/>
            <w:shd w:val="clear" w:color="auto" w:fill="ededed"/>
            <w:vAlign w:val="center"/>
          </w:tcPr>
          <w:p w14:paraId="00000034">
            <w:pPr>
              <w:pStyle w:val="Шапка_табл"/>
              <w:rPr/>
            </w:pPr>
          </w:p>
        </w:tc>
        <w:tc>
          <w:tcPr>
            <w:cnfStyle w:val="000000100000"/>
            <w:tcW w:w="810" w:type="dxa"/>
            <w:vMerge w:val="continue"/>
            <w:shd w:val="clear" w:color="auto" w:fill="ededed"/>
            <w:vAlign w:val="center"/>
          </w:tcPr>
          <w:p w14:paraId="00000035">
            <w:pPr>
              <w:pStyle w:val="Шапка_табл"/>
              <w:rPr/>
            </w:pPr>
          </w:p>
        </w:tc>
        <w:tc>
          <w:tcPr>
            <w:cnfStyle w:val="000000100000"/>
            <w:tcW w:w="1233" w:type="dxa"/>
            <w:vMerge w:val="continue"/>
            <w:shd w:val="clear" w:color="auto" w:fill="ededed"/>
            <w:vAlign w:val="center"/>
          </w:tcPr>
          <w:p w14:paraId="00000036">
            <w:pPr>
              <w:pStyle w:val="Шапка_табл"/>
              <w:rPr/>
            </w:pPr>
          </w:p>
        </w:tc>
        <w:tc>
          <w:tcPr>
            <w:cnfStyle w:val="000000100000"/>
            <w:tcW w:w="2283" w:type="dxa"/>
            <w:vMerge w:val="continue"/>
            <w:shd w:val="clear" w:color="auto" w:fill="ededed"/>
            <w:vAlign w:val="center"/>
          </w:tcPr>
          <w:p w14:paraId="00000037">
            <w:pPr>
              <w:pStyle w:val="Шапка_табл"/>
              <w:rPr/>
            </w:pPr>
          </w:p>
        </w:tc>
        <w:tc>
          <w:tcPr>
            <w:cnfStyle w:val="000000100000"/>
            <w:tcW w:w="1276" w:type="dxa"/>
            <w:shd w:val="clear" w:color="auto" w:fill="ededed"/>
            <w:vAlign w:val="center"/>
          </w:tcPr>
          <w:p w14:paraId="00000038">
            <w:pPr>
              <w:pStyle w:val="Шапка_табл"/>
              <w:rPr/>
            </w:pPr>
            <w:r>
              <w:t>Код</w:t>
            </w:r>
          </w:p>
        </w:tc>
        <w:tc>
          <w:tcPr>
            <w:cnfStyle w:val="000000100000"/>
            <w:tcW w:w="2551" w:type="dxa"/>
            <w:shd w:val="clear" w:color="auto" w:fill="ededed"/>
            <w:vAlign w:val="center"/>
          </w:tcPr>
          <w:p w14:paraId="00000039">
            <w:pPr>
              <w:pStyle w:val="Шапка_табл"/>
              <w:rPr/>
            </w:pPr>
            <w:r>
              <w:t>Наименование</w:t>
            </w:r>
          </w:p>
        </w:tc>
        <w:tc>
          <w:tcPr>
            <w:cnfStyle w:val="000000100000"/>
            <w:tcW w:w="1418" w:type="dxa"/>
            <w:shd w:val="clear" w:color="auto" w:fill="ededed"/>
            <w:vAlign w:val="center"/>
          </w:tcPr>
          <w:p w14:paraId="0000003A">
            <w:pPr>
              <w:pStyle w:val="Шапка_табл"/>
              <w:rPr/>
            </w:pPr>
            <w:r>
              <w:t>Код</w:t>
            </w:r>
          </w:p>
        </w:tc>
        <w:tc>
          <w:tcPr>
            <w:cnfStyle w:val="000000100000"/>
            <w:tcW w:w="2976" w:type="dxa"/>
            <w:shd w:val="clear" w:color="auto" w:fill="ededed"/>
            <w:vAlign w:val="center"/>
          </w:tcPr>
          <w:p w14:paraId="0000003B">
            <w:pPr>
              <w:pStyle w:val="Шапка_табл"/>
              <w:rPr/>
            </w:pPr>
            <w:r>
              <w:t>Наименование</w:t>
            </w:r>
          </w:p>
        </w:tc>
      </w:tr>
      <w:tr>
        <w:trPr>
          <w:trHeight w:val="347"/>
        </w:trPr>
        <w:tc>
          <w:tcPr>
            <w:cnfStyle w:val="001000010000"/>
            <w:tcW w:w="2053" w:type="dxa"/>
            <w:vMerge w:val="restart"/>
            <w:vAlign w:val="center"/>
          </w:tcPr>
          <w:p w14:paraId="0000003C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Учебная практика. Учебная практика по развитию цифровых компетенций</w:t>
            </w:r>
          </w:p>
        </w:tc>
        <w:tc>
          <w:tcPr>
            <w:cnfStyle w:val="000000010000"/>
            <w:tcW w:w="810" w:type="dxa"/>
            <w:vMerge w:val="restart"/>
            <w:vAlign w:val="center"/>
          </w:tcPr>
          <w:p w14:paraId="0000003D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</w:t>
            </w:r>
          </w:p>
        </w:tc>
        <w:tc>
          <w:tcPr>
            <w:cnfStyle w:val="000000010000"/>
            <w:tcW w:w="1233" w:type="dxa"/>
            <w:vMerge w:val="restart"/>
            <w:vAlign w:val="center"/>
          </w:tcPr>
          <w:p w14:paraId="0000003E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ОПК(У)-4</w:t>
            </w:r>
          </w:p>
        </w:tc>
        <w:tc>
          <w:tcPr>
            <w:cnfStyle w:val="000000010000"/>
            <w:tcW w:w="2283" w:type="dxa"/>
            <w:vMerge w:val="restart"/>
            <w:vAlign w:val="center"/>
          </w:tcPr>
          <w:p w14:paraId="0000003F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проводить измерения и наблюдения, обрабатывать и представлять экспериментальные данные</w:t>
            </w:r>
          </w:p>
        </w:tc>
        <w:tc>
          <w:tcPr>
            <w:cnfStyle w:val="000000010000"/>
            <w:tcW w:w="1276" w:type="dxa"/>
            <w:vMerge w:val="restart"/>
            <w:vAlign w:val="center"/>
          </w:tcPr>
          <w:p w14:paraId="00000040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14:paraId="00000041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4.4</w:t>
            </w:r>
          </w:p>
        </w:tc>
        <w:tc>
          <w:tcPr>
            <w:cnfStyle w:val="000000010000"/>
            <w:tcW w:w="2551" w:type="dxa"/>
            <w:vMerge w:val="restart"/>
            <w:vAlign w:val="center"/>
          </w:tcPr>
          <w:p w14:paraId="00000042">
            <w:pPr>
              <w:widowControl w:val="off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Владеет техникой экспериментирования с использованием пакетов программ</w:t>
            </w:r>
          </w:p>
        </w:tc>
        <w:tc>
          <w:tcPr>
            <w:cnfStyle w:val="000000010000"/>
            <w:tcW w:w="1418" w:type="dxa"/>
            <w:vAlign w:val="center"/>
          </w:tcPr>
          <w:p w14:paraId="00000043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ОПК(У)-4.4В1</w:t>
            </w:r>
          </w:p>
        </w:tc>
        <w:tc>
          <w:tcPr>
            <w:cnfStyle w:val="000000010000"/>
            <w:tcW w:w="2976" w:type="dxa"/>
            <w:vAlign w:val="center"/>
          </w:tcPr>
          <w:p w14:paraId="00000044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техническими приемами работы с программными продуктами</w:t>
            </w:r>
          </w:p>
        </w:tc>
      </w:tr>
      <w:tr>
        <w:trPr>
          <w:trHeight w:val="347"/>
        </w:trPr>
        <w:tc>
          <w:tcPr>
            <w:cnfStyle w:val="001000100000"/>
            <w:tcW w:w="2053" w:type="dxa"/>
            <w:vMerge w:val="continue"/>
            <w:vAlign w:val="center"/>
          </w:tcPr>
          <w:p w14:paraId="00000045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810" w:type="dxa"/>
            <w:vMerge w:val="continue"/>
            <w:vAlign w:val="center"/>
          </w:tcPr>
          <w:p w14:paraId="00000046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33" w:type="dxa"/>
            <w:vMerge w:val="continue"/>
            <w:vAlign w:val="center"/>
          </w:tcPr>
          <w:p w14:paraId="00000047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2283" w:type="dxa"/>
            <w:vMerge w:val="continue"/>
            <w:vAlign w:val="center"/>
          </w:tcPr>
          <w:p w14:paraId="00000048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76" w:type="dxa"/>
            <w:vMerge w:val="continue"/>
            <w:vAlign w:val="center"/>
          </w:tcPr>
          <w:p w14:paraId="00000049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0000004A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2551" w:type="dxa"/>
            <w:vMerge w:val="continue"/>
            <w:vAlign w:val="center"/>
          </w:tcPr>
          <w:p w14:paraId="0000004B">
            <w:pPr>
              <w:widowControl w:val="off"/>
              <w:spacing w:after="0" w:line="240" w:lineRule="auto"/>
              <w:rPr>
                <w:sz w:val="20"/>
              </w:rPr>
            </w:pPr>
          </w:p>
        </w:tc>
        <w:tc>
          <w:tcPr>
            <w:cnfStyle w:val="000000100000"/>
            <w:tcW w:w="1418" w:type="dxa"/>
            <w:vAlign w:val="center"/>
          </w:tcPr>
          <w:p w14:paraId="0000004C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ОПК(У)-4.4У1</w:t>
            </w:r>
          </w:p>
        </w:tc>
        <w:tc>
          <w:tcPr>
            <w:cnfStyle w:val="000000100000"/>
            <w:tcW w:w="2976" w:type="dxa"/>
            <w:vAlign w:val="center"/>
          </w:tcPr>
          <w:p w14:paraId="0000004D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сопоставлять полученные экспериментальные данные с реальными условиями производственной деятельности</w:t>
            </w:r>
          </w:p>
        </w:tc>
      </w:tr>
      <w:tr>
        <w:trPr>
          <w:trHeight w:val="347"/>
        </w:trPr>
        <w:tc>
          <w:tcPr>
            <w:cnfStyle w:val="001000010000"/>
            <w:tcW w:w="2053" w:type="dxa"/>
            <w:vMerge w:val="continue"/>
            <w:vAlign w:val="center"/>
          </w:tcPr>
          <w:p w14:paraId="0000004E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810" w:type="dxa"/>
            <w:vMerge w:val="continue"/>
            <w:vAlign w:val="center"/>
          </w:tcPr>
          <w:p w14:paraId="0000004F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1233" w:type="dxa"/>
            <w:vMerge w:val="continue"/>
            <w:vAlign w:val="center"/>
          </w:tcPr>
          <w:p w14:paraId="00000050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2283" w:type="dxa"/>
            <w:vMerge w:val="continue"/>
            <w:vAlign w:val="center"/>
          </w:tcPr>
          <w:p w14:paraId="00000051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1276" w:type="dxa"/>
            <w:vMerge w:val="continue"/>
            <w:vAlign w:val="center"/>
          </w:tcPr>
          <w:p w14:paraId="00000052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00000053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2551" w:type="dxa"/>
            <w:vMerge w:val="continue"/>
            <w:vAlign w:val="center"/>
          </w:tcPr>
          <w:p w14:paraId="00000054">
            <w:pPr>
              <w:widowControl w:val="off"/>
              <w:spacing w:after="0" w:line="240" w:lineRule="auto"/>
              <w:rPr>
                <w:sz w:val="20"/>
              </w:rPr>
            </w:pPr>
          </w:p>
        </w:tc>
        <w:tc>
          <w:tcPr>
            <w:cnfStyle w:val="000000010000"/>
            <w:tcW w:w="1418" w:type="dxa"/>
            <w:vAlign w:val="center"/>
          </w:tcPr>
          <w:p w14:paraId="00000055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ОПК(У)-4.4З1</w:t>
            </w:r>
          </w:p>
        </w:tc>
        <w:tc>
          <w:tcPr>
            <w:cnfStyle w:val="000000010000"/>
            <w:tcW w:w="2976" w:type="dxa"/>
            <w:vAlign w:val="center"/>
          </w:tcPr>
          <w:p w14:paraId="00000056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методы обработки статистических данных</w:t>
            </w:r>
          </w:p>
        </w:tc>
      </w:tr>
      <w:tr>
        <w:trPr>
          <w:trHeight w:val="347"/>
        </w:trPr>
        <w:tc>
          <w:tcPr>
            <w:cnfStyle w:val="001000100000"/>
            <w:tcW w:w="2053" w:type="dxa"/>
            <w:vMerge w:val="continue"/>
            <w:vAlign w:val="center"/>
          </w:tcPr>
          <w:p w14:paraId="00000057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810" w:type="dxa"/>
            <w:vMerge w:val="continue"/>
            <w:vAlign w:val="center"/>
          </w:tcPr>
          <w:p w14:paraId="00000058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33" w:type="dxa"/>
            <w:vMerge w:val="restart"/>
            <w:vAlign w:val="center"/>
          </w:tcPr>
          <w:p w14:paraId="00000059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ОПК(У)-5</w:t>
            </w:r>
          </w:p>
        </w:tc>
        <w:tc>
          <w:tcPr>
            <w:cnfStyle w:val="000000100000"/>
            <w:tcW w:w="2283" w:type="dxa"/>
            <w:vMerge w:val="restart"/>
            <w:vAlign w:val="center"/>
          </w:tcPr>
          <w:p w14:paraId="0000005A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cnfStyle w:val="000000100000"/>
            <w:tcW w:w="1276" w:type="dxa"/>
            <w:vMerge w:val="restart"/>
            <w:vAlign w:val="center"/>
          </w:tcPr>
          <w:p w14:paraId="0000005B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14:paraId="0000005C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5.1</w:t>
            </w:r>
          </w:p>
        </w:tc>
        <w:tc>
          <w:tcPr>
            <w:cnfStyle w:val="000000100000"/>
            <w:tcW w:w="2551" w:type="dxa"/>
            <w:vMerge w:val="restart"/>
            <w:vAlign w:val="center"/>
          </w:tcPr>
          <w:p w14:paraId="0000005D">
            <w:pPr>
              <w:widowControl w:val="off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Демонстрирует навыки использования современных информационных технологий и программных средств, в том числе отечественного производства, при решении задач профессиональной деятельности</w:t>
            </w:r>
          </w:p>
        </w:tc>
        <w:tc>
          <w:tcPr>
            <w:cnfStyle w:val="000000100000"/>
            <w:tcW w:w="1418" w:type="dxa"/>
            <w:vAlign w:val="center"/>
          </w:tcPr>
          <w:p w14:paraId="0000005E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ОПК(У)-5.1В1</w:t>
            </w:r>
          </w:p>
        </w:tc>
        <w:tc>
          <w:tcPr>
            <w:cnfStyle w:val="000000100000"/>
            <w:tcW w:w="2976" w:type="dxa"/>
            <w:vAlign w:val="center"/>
          </w:tcPr>
          <w:p w14:paraId="0000005F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опытом применения современных информационных технологий и программных средств, в том числе отечественного производства, при решении задач профессиональной деятельности</w:t>
            </w:r>
          </w:p>
        </w:tc>
      </w:tr>
      <w:tr>
        <w:trPr>
          <w:trHeight w:val="347"/>
        </w:trPr>
        <w:tc>
          <w:tcPr>
            <w:cnfStyle w:val="001000010000"/>
            <w:tcW w:w="2053" w:type="dxa"/>
            <w:vMerge w:val="continue"/>
            <w:vAlign w:val="center"/>
          </w:tcPr>
          <w:p w14:paraId="00000060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810" w:type="dxa"/>
            <w:vMerge w:val="continue"/>
            <w:vAlign w:val="center"/>
          </w:tcPr>
          <w:p w14:paraId="00000061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1233" w:type="dxa"/>
            <w:vMerge w:val="continue"/>
            <w:vAlign w:val="center"/>
          </w:tcPr>
          <w:p w14:paraId="00000062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2283" w:type="dxa"/>
            <w:vMerge w:val="continue"/>
            <w:vAlign w:val="center"/>
          </w:tcPr>
          <w:p w14:paraId="00000063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1276" w:type="dxa"/>
            <w:vMerge w:val="continue"/>
            <w:vAlign w:val="center"/>
          </w:tcPr>
          <w:p w14:paraId="00000064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00000065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2551" w:type="dxa"/>
            <w:vMerge w:val="continue"/>
            <w:vAlign w:val="center"/>
          </w:tcPr>
          <w:p w14:paraId="00000066">
            <w:pPr>
              <w:widowControl w:val="off"/>
              <w:spacing w:after="0" w:line="240" w:lineRule="auto"/>
              <w:rPr>
                <w:sz w:val="20"/>
              </w:rPr>
            </w:pPr>
          </w:p>
        </w:tc>
        <w:tc>
          <w:tcPr>
            <w:cnfStyle w:val="000000010000"/>
            <w:tcW w:w="1418" w:type="dxa"/>
            <w:vAlign w:val="center"/>
          </w:tcPr>
          <w:p w14:paraId="00000067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ОПК(У)-5.1У1</w:t>
            </w:r>
          </w:p>
        </w:tc>
        <w:tc>
          <w:tcPr>
            <w:cnfStyle w:val="000000010000"/>
            <w:tcW w:w="2976" w:type="dxa"/>
            <w:vAlign w:val="center"/>
          </w:tcPr>
          <w:p w14:paraId="00000068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выбирать современные информационные технологии и программные средства, в том числе отечественного производства, при решении задач профессиональной деятельности</w:t>
            </w:r>
          </w:p>
        </w:tc>
      </w:tr>
      <w:tr>
        <w:trPr>
          <w:trHeight w:val="347"/>
        </w:trPr>
        <w:tc>
          <w:tcPr>
            <w:cnfStyle w:val="001000100000"/>
            <w:tcW w:w="2053" w:type="dxa"/>
            <w:vMerge w:val="continue"/>
            <w:vAlign w:val="center"/>
          </w:tcPr>
          <w:p w14:paraId="00000069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810" w:type="dxa"/>
            <w:vMerge w:val="continue"/>
            <w:vAlign w:val="center"/>
          </w:tcPr>
          <w:p w14:paraId="0000006A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33" w:type="dxa"/>
            <w:vMerge w:val="continue"/>
            <w:vAlign w:val="center"/>
          </w:tcPr>
          <w:p w14:paraId="0000006B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2283" w:type="dxa"/>
            <w:vMerge w:val="continue"/>
            <w:vAlign w:val="center"/>
          </w:tcPr>
          <w:p w14:paraId="0000006C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76" w:type="dxa"/>
            <w:vMerge w:val="continue"/>
            <w:vAlign w:val="center"/>
          </w:tcPr>
          <w:p w14:paraId="0000006D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0000006E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2551" w:type="dxa"/>
            <w:vMerge w:val="continue"/>
            <w:vAlign w:val="center"/>
          </w:tcPr>
          <w:p w14:paraId="0000006F">
            <w:pPr>
              <w:widowControl w:val="off"/>
              <w:spacing w:after="0" w:line="240" w:lineRule="auto"/>
              <w:rPr>
                <w:sz w:val="20"/>
              </w:rPr>
            </w:pPr>
          </w:p>
        </w:tc>
        <w:tc>
          <w:tcPr>
            <w:cnfStyle w:val="000000100000"/>
            <w:tcW w:w="1418" w:type="dxa"/>
            <w:vAlign w:val="center"/>
          </w:tcPr>
          <w:p w14:paraId="00000070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ОПК(У)-5.1З1</w:t>
            </w:r>
          </w:p>
        </w:tc>
        <w:tc>
          <w:tcPr>
            <w:cnfStyle w:val="000000100000"/>
            <w:tcW w:w="2976" w:type="dxa"/>
            <w:vAlign w:val="center"/>
          </w:tcPr>
          <w:p w14:paraId="00000071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современные информационные технологии и программные средства, в том числе отечественного производства, при решении задач профессиональной деятельности</w:t>
            </w:r>
          </w:p>
        </w:tc>
      </w:tr>
      <w:tr>
        <w:trPr>
          <w:trHeight w:val="347"/>
        </w:trPr>
        <w:tc>
          <w:tcPr>
            <w:cnfStyle w:val="001000010000"/>
            <w:tcW w:w="2053" w:type="dxa"/>
            <w:vMerge w:val="continue"/>
            <w:vAlign w:val="center"/>
          </w:tcPr>
          <w:p w14:paraId="00000072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810" w:type="dxa"/>
            <w:vMerge w:val="continue"/>
            <w:vAlign w:val="center"/>
          </w:tcPr>
          <w:p w14:paraId="00000073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1233" w:type="dxa"/>
            <w:vMerge w:val="restart"/>
            <w:vAlign w:val="center"/>
          </w:tcPr>
          <w:p w14:paraId="00000074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УК(У)-8</w:t>
            </w:r>
          </w:p>
        </w:tc>
        <w:tc>
          <w:tcPr>
            <w:cnfStyle w:val="000000010000"/>
            <w:tcW w:w="2283" w:type="dxa"/>
            <w:vMerge w:val="restart"/>
            <w:vAlign w:val="center"/>
          </w:tcPr>
          <w:p w14:paraId="00000075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  <w:tc>
          <w:tcPr>
            <w:cnfStyle w:val="000000010000"/>
            <w:tcW w:w="1276" w:type="dxa"/>
            <w:vMerge w:val="restart"/>
            <w:vAlign w:val="center"/>
          </w:tcPr>
          <w:p w14:paraId="00000076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И.УК(У)-</w:t>
            </w:r>
          </w:p>
          <w:p w14:paraId="00000077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8.1</w:t>
            </w:r>
          </w:p>
        </w:tc>
        <w:tc>
          <w:tcPr>
            <w:cnfStyle w:val="000000010000"/>
            <w:tcW w:w="2551" w:type="dxa"/>
            <w:vMerge w:val="restart"/>
            <w:vAlign w:val="center"/>
          </w:tcPr>
          <w:p w14:paraId="00000078">
            <w:pPr>
              <w:widowControl w:val="off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В условиях цифровизации идентифицирует и анализирует опасные и вредные факторы в повседневной жизни и профессиональной деятельности, разрабатывает мероприятия по устранению этих факторов</w:t>
            </w:r>
          </w:p>
        </w:tc>
        <w:tc>
          <w:tcPr>
            <w:cnfStyle w:val="000000010000"/>
            <w:tcW w:w="1418" w:type="dxa"/>
            <w:vAlign w:val="center"/>
          </w:tcPr>
          <w:p w14:paraId="00000079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УК(У)-8.1В1</w:t>
            </w:r>
          </w:p>
        </w:tc>
        <w:tc>
          <w:tcPr>
            <w:cnfStyle w:val="000000010000"/>
            <w:tcW w:w="2976" w:type="dxa"/>
            <w:vAlign w:val="center"/>
          </w:tcPr>
          <w:p w14:paraId="0000007A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методикой проведения расчетов по оценке уровней опасных и вредных факторов среды обитания; в выборе необходимых средств защиты и безопасности</w:t>
            </w:r>
          </w:p>
        </w:tc>
      </w:tr>
      <w:tr>
        <w:trPr>
          <w:trHeight w:val="347"/>
        </w:trPr>
        <w:tc>
          <w:tcPr>
            <w:cnfStyle w:val="001000100000"/>
            <w:tcW w:w="2053" w:type="dxa"/>
            <w:vMerge w:val="continue"/>
            <w:vAlign w:val="center"/>
          </w:tcPr>
          <w:p w14:paraId="0000007B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810" w:type="dxa"/>
            <w:vMerge w:val="continue"/>
            <w:vAlign w:val="center"/>
          </w:tcPr>
          <w:p w14:paraId="0000007C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33" w:type="dxa"/>
            <w:vMerge w:val="continue"/>
            <w:vAlign w:val="center"/>
          </w:tcPr>
          <w:p w14:paraId="0000007D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2283" w:type="dxa"/>
            <w:vMerge w:val="continue"/>
            <w:vAlign w:val="center"/>
          </w:tcPr>
          <w:p w14:paraId="0000007E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76" w:type="dxa"/>
            <w:vMerge w:val="continue"/>
            <w:vAlign w:val="center"/>
          </w:tcPr>
          <w:p w14:paraId="0000007F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00000080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2551" w:type="dxa"/>
            <w:vMerge w:val="continue"/>
            <w:vAlign w:val="center"/>
          </w:tcPr>
          <w:p w14:paraId="00000081">
            <w:pPr>
              <w:widowControl w:val="off"/>
              <w:spacing w:after="0" w:line="240" w:lineRule="auto"/>
              <w:rPr>
                <w:sz w:val="20"/>
              </w:rPr>
            </w:pPr>
          </w:p>
        </w:tc>
        <w:tc>
          <w:tcPr>
            <w:cnfStyle w:val="000000100000"/>
            <w:tcW w:w="1418" w:type="dxa"/>
            <w:vAlign w:val="center"/>
          </w:tcPr>
          <w:p w14:paraId="00000082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УК(У)-8.1У1</w:t>
            </w:r>
          </w:p>
        </w:tc>
        <w:tc>
          <w:tcPr>
            <w:cnfStyle w:val="000000100000"/>
            <w:tcW w:w="2976" w:type="dxa"/>
            <w:vAlign w:val="center"/>
          </w:tcPr>
          <w:p w14:paraId="00000083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проводить контроль параметров и уровня отрицательных воздействий на организм человека, на их соответствие нормативным требованиям; применять средства защиты от отрицательных воздействий; разрабатывать мероприятия по повышению безопасности производственной деятельности в условиях цифровизации</w:t>
            </w:r>
          </w:p>
        </w:tc>
      </w:tr>
      <w:tr>
        <w:trPr>
          <w:trHeight w:val="347"/>
        </w:trPr>
        <w:tc>
          <w:tcPr>
            <w:cnfStyle w:val="001000010000"/>
            <w:tcW w:w="2053" w:type="dxa"/>
            <w:vMerge w:val="continue"/>
            <w:vAlign w:val="center"/>
          </w:tcPr>
          <w:p w14:paraId="00000084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810" w:type="dxa"/>
            <w:vMerge w:val="continue"/>
            <w:vAlign w:val="center"/>
          </w:tcPr>
          <w:p w14:paraId="00000085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1233" w:type="dxa"/>
            <w:vMerge w:val="continue"/>
            <w:vAlign w:val="center"/>
          </w:tcPr>
          <w:p w14:paraId="00000086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2283" w:type="dxa"/>
            <w:vMerge w:val="continue"/>
            <w:vAlign w:val="center"/>
          </w:tcPr>
          <w:p w14:paraId="00000087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1276" w:type="dxa"/>
            <w:vMerge w:val="continue"/>
            <w:vAlign w:val="center"/>
          </w:tcPr>
          <w:p w14:paraId="00000088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00000089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2551" w:type="dxa"/>
            <w:vMerge w:val="continue"/>
            <w:vAlign w:val="center"/>
          </w:tcPr>
          <w:p w14:paraId="0000008A">
            <w:pPr>
              <w:widowControl w:val="off"/>
              <w:spacing w:after="0" w:line="240" w:lineRule="auto"/>
              <w:rPr>
                <w:sz w:val="20"/>
              </w:rPr>
            </w:pPr>
          </w:p>
        </w:tc>
        <w:tc>
          <w:tcPr>
            <w:cnfStyle w:val="000000010000"/>
            <w:tcW w:w="1418" w:type="dxa"/>
            <w:vAlign w:val="center"/>
          </w:tcPr>
          <w:p w14:paraId="0000008B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УК(У)-8.1З1</w:t>
            </w:r>
          </w:p>
        </w:tc>
        <w:tc>
          <w:tcPr>
            <w:cnfStyle w:val="000000010000"/>
            <w:tcW w:w="2976" w:type="dxa"/>
            <w:vAlign w:val="center"/>
          </w:tcPr>
          <w:p w14:paraId="0000008C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основы безопасности жизнедеятельности в системе «человек-среда обитания»; правовые, нормативно-технические и организационные основы безопасности жизнедеятельности</w:t>
            </w:r>
          </w:p>
        </w:tc>
      </w:tr>
    </w:tbl>
    <w:p w14:paraId="0000008D">
      <w:pPr>
        <w:pStyle w:val="Heading1"/>
        <w:rPr/>
      </w:pPr>
      <w:r>
        <w:t>Планируемые результаты обучения и методы оценивания</w:t>
      </w:r>
    </w:p>
    <w:tbl>
      <w:tblPr>
        <w:tblW w:w="1460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947"/>
        <w:gridCol w:w="5198"/>
        <w:gridCol w:w="2277"/>
        <w:gridCol w:w="2809"/>
        <w:gridCol w:w="3369"/>
      </w:tblGrid>
      <w:tr>
        <w:trPr/>
        <w:tc>
          <w:tcPr>
            <w:cnfStyle w:val="101000000000"/>
            <w:tcW w:w="6145" w:type="dxa"/>
            <w:gridSpan w:val="2"/>
            <w:shd w:val="clear" w:color="auto" w:fill="ededed"/>
            <w:vAlign w:val="center"/>
          </w:tcPr>
          <w:p w14:paraId="0000008E">
            <w:pPr>
              <w:pStyle w:val="Шапка_табл"/>
              <w:rPr/>
            </w:pPr>
            <w:r>
              <w:t>Планируемые результаты обучения при прохождении практики</w:t>
            </w:r>
          </w:p>
        </w:tc>
        <w:tc>
          <w:tcPr>
            <w:cnfStyle w:val="100000000000"/>
            <w:tcW w:w="2277" w:type="dxa"/>
            <w:vMerge w:val="restart"/>
            <w:shd w:val="clear" w:color="auto" w:fill="ededed"/>
            <w:vAlign w:val="center"/>
          </w:tcPr>
          <w:p w14:paraId="0000008F">
            <w:pPr>
              <w:pStyle w:val="Шапка_табл"/>
              <w:rPr/>
            </w:pPr>
            <w:r>
              <w:t>Код индикатора достижения контролируемой компетенции (или ее части)</w:t>
            </w:r>
          </w:p>
        </w:tc>
        <w:tc>
          <w:tcPr>
            <w:cnfStyle w:val="100000000000"/>
            <w:tcW w:w="2809" w:type="dxa"/>
            <w:vMerge w:val="restart"/>
            <w:shd w:val="clear" w:color="auto" w:fill="ededed"/>
            <w:vAlign w:val="center"/>
          </w:tcPr>
          <w:p w14:paraId="00000090">
            <w:pPr>
              <w:pStyle w:val="Шапка_табл"/>
              <w:rPr/>
            </w:pPr>
            <w:r>
              <w:t xml:space="preserve">Наименование </w:t>
            </w:r>
          </w:p>
          <w:p w14:paraId="00000091">
            <w:pPr>
              <w:pStyle w:val="Шапка_табл"/>
              <w:rPr/>
            </w:pPr>
            <w:r>
              <w:t>разделов (этапов) практики</w:t>
            </w:r>
          </w:p>
        </w:tc>
        <w:tc>
          <w:tcPr>
            <w:cnfStyle w:val="100000000000"/>
            <w:tcW w:w="3369" w:type="dxa"/>
            <w:vMerge w:val="restart"/>
            <w:shd w:val="clear" w:color="auto" w:fill="ededed"/>
            <w:vAlign w:val="center"/>
          </w:tcPr>
          <w:p w14:paraId="00000092">
            <w:pPr>
              <w:pStyle w:val="Шапка_табл"/>
              <w:rPr/>
            </w:pPr>
            <w:r>
              <w:t>Методы оценивания</w:t>
            </w:r>
          </w:p>
          <w:p w14:paraId="00000093">
            <w:pPr>
              <w:pStyle w:val="Шапка_табл"/>
              <w:rPr/>
            </w:pPr>
            <w:r>
              <w:t>(оценочные мероприятия)</w:t>
            </w:r>
          </w:p>
        </w:tc>
      </w:tr>
      <w:tr>
        <w:trPr/>
        <w:tc>
          <w:tcPr>
            <w:cnfStyle w:val="001000100000"/>
            <w:tcW w:w="947" w:type="dxa"/>
            <w:shd w:val="clear" w:color="auto" w:fill="ededed"/>
            <w:vAlign w:val="center"/>
          </w:tcPr>
          <w:p w14:paraId="00000094">
            <w:pPr>
              <w:pStyle w:val="Шапка_табл"/>
              <w:rPr/>
            </w:pPr>
            <w:r>
              <w:t>Код</w:t>
            </w:r>
          </w:p>
        </w:tc>
        <w:tc>
          <w:tcPr>
            <w:cnfStyle w:val="000000100000"/>
            <w:tcW w:w="5198" w:type="dxa"/>
            <w:shd w:val="clear" w:color="auto" w:fill="ededed"/>
            <w:vAlign w:val="center"/>
          </w:tcPr>
          <w:p w14:paraId="00000095">
            <w:pPr>
              <w:pStyle w:val="Шапка_табл"/>
              <w:rPr/>
            </w:pPr>
            <w:r>
              <w:t>Наименование</w:t>
            </w:r>
          </w:p>
        </w:tc>
        <w:tc>
          <w:tcPr>
            <w:cnfStyle w:val="000000100000"/>
            <w:tcW w:w="2277" w:type="dxa"/>
            <w:vMerge w:val="continue"/>
            <w:shd w:val="clear" w:color="auto" w:fill="ededed"/>
            <w:vAlign w:val="center"/>
          </w:tcPr>
          <w:p w14:paraId="00000096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cnfStyle w:val="000000100000"/>
            <w:tcW w:w="2809" w:type="dxa"/>
            <w:vMerge w:val="continue"/>
            <w:shd w:val="clear" w:color="auto" w:fill="ededed"/>
            <w:vAlign w:val="center"/>
          </w:tcPr>
          <w:p w14:paraId="00000097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cnfStyle w:val="000000100000"/>
            <w:tcW w:w="3369" w:type="dxa"/>
            <w:vMerge w:val="continue"/>
            <w:shd w:val="clear" w:color="auto" w:fill="ededed"/>
            <w:vAlign w:val="center"/>
          </w:tcPr>
          <w:p w14:paraId="00000098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</w:tr>
      <w:tr>
        <w:trPr>
          <w:trHeight w:val="412"/>
        </w:trPr>
        <w:tc>
          <w:tcPr>
            <w:cnfStyle w:val="001000010000"/>
            <w:tcW w:w="947" w:type="dxa"/>
            <w:shd w:val="clear" w:color="auto" w:fill="auto"/>
          </w:tcPr>
          <w:p w14:paraId="00000099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РП-1</w:t>
            </w:r>
          </w:p>
        </w:tc>
        <w:tc>
          <w:tcPr>
            <w:cnfStyle w:val="000000010000"/>
            <w:tcW w:w="5198" w:type="dxa"/>
          </w:tcPr>
          <w:p w14:paraId="0000009A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Применять знания об использовании цифровых технологий при поиске данных</w:t>
            </w:r>
          </w:p>
        </w:tc>
        <w:tc>
          <w:tcPr>
            <w:cnfStyle w:val="000000010000"/>
            <w:tcW w:w="2277" w:type="dxa"/>
          </w:tcPr>
          <w:p w14:paraId="0000009B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И.ОПК(У)-4.4,</w:t>
            </w:r>
          </w:p>
          <w:p w14:paraId="0000009C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И.ОПК(У)-5.1,</w:t>
            </w:r>
          </w:p>
          <w:p w14:paraId="0000009D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И.УК(У)-8.1.</w:t>
            </w:r>
          </w:p>
        </w:tc>
        <w:tc>
          <w:tcPr>
            <w:cnfStyle w:val="000000010000"/>
            <w:tcW w:w="2809" w:type="dxa"/>
            <w:vMerge w:val="restart"/>
          </w:tcPr>
          <w:p w14:paraId="0000009E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.</w:t>
            </w:r>
          </w:p>
        </w:tc>
        <w:tc>
          <w:tcPr>
            <w:cnfStyle w:val="000000010000"/>
            <w:tcW w:w="3369" w:type="dxa"/>
            <w:vMerge w:val="restart"/>
          </w:tcPr>
          <w:p w14:paraId="0000009F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Защита отчета по практике Основной этап (геологоразведочный), Защита отчета по практике  Основной этап (геологический), Защита отчета по практике Основной этап (oil-case), Защита отчета по практике  Основной этап  (практическая специализация), Экспертная оценка руководителя практики от обеспечивающего подразделения ТПУ</w:t>
            </w:r>
          </w:p>
        </w:tc>
      </w:tr>
      <w:tr>
        <w:trPr>
          <w:trHeight w:val="412"/>
        </w:trPr>
        <w:tc>
          <w:tcPr>
            <w:cnfStyle w:val="001000100000"/>
            <w:tcW w:w="947" w:type="dxa"/>
            <w:shd w:val="clear" w:color="auto" w:fill="auto"/>
          </w:tcPr>
          <w:p w14:paraId="000000A0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РП-2</w:t>
            </w:r>
          </w:p>
        </w:tc>
        <w:tc>
          <w:tcPr>
            <w:cnfStyle w:val="000000100000"/>
            <w:tcW w:w="5198" w:type="dxa"/>
          </w:tcPr>
          <w:p w14:paraId="000000A1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Иметь опыт проведения полевых геодезических и геологических работ</w:t>
            </w:r>
          </w:p>
        </w:tc>
        <w:tc>
          <w:tcPr>
            <w:cnfStyle w:val="000000100000"/>
            <w:tcW w:w="2277" w:type="dxa"/>
          </w:tcPr>
          <w:p w14:paraId="000000A2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И.ОПК(У)-4.4,</w:t>
            </w:r>
          </w:p>
          <w:p w14:paraId="000000A3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И.ОПК(У)-5.1,</w:t>
            </w:r>
          </w:p>
          <w:p w14:paraId="000000A4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И.УК(У)-8.1.</w:t>
            </w:r>
          </w:p>
        </w:tc>
        <w:tc>
          <w:tcPr>
            <w:cnfStyle w:val="000000100000"/>
            <w:tcW w:w="2809" w:type="dxa"/>
            <w:vMerge w:val="continue"/>
          </w:tcPr>
          <w:p w14:paraId="000000A5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3369" w:type="dxa"/>
            <w:vMerge w:val="continue"/>
          </w:tcPr>
          <w:p w14:paraId="000000A6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</w:tr>
      <w:tr>
        <w:trPr>
          <w:trHeight w:val="412"/>
        </w:trPr>
        <w:tc>
          <w:tcPr>
            <w:cnfStyle w:val="001000010000"/>
            <w:tcW w:w="947" w:type="dxa"/>
            <w:shd w:val="clear" w:color="auto" w:fill="auto"/>
          </w:tcPr>
          <w:p w14:paraId="000000A7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РП-3</w:t>
            </w:r>
          </w:p>
        </w:tc>
        <w:tc>
          <w:tcPr>
            <w:cnfStyle w:val="000000010000"/>
            <w:tcW w:w="5198" w:type="dxa"/>
          </w:tcPr>
          <w:p w14:paraId="000000A8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Проводить камеральную обработку полученных данных и применять программные комплексы для решения задач в области нефтегазового дела</w:t>
            </w:r>
          </w:p>
        </w:tc>
        <w:tc>
          <w:tcPr>
            <w:cnfStyle w:val="000000010000"/>
            <w:tcW w:w="2277" w:type="dxa"/>
          </w:tcPr>
          <w:p w14:paraId="000000A9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И.ОПК(У)-4.4,</w:t>
            </w:r>
          </w:p>
          <w:p w14:paraId="000000AA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И.ОПК(У)-5.1,</w:t>
            </w:r>
          </w:p>
          <w:p w14:paraId="000000AB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И.УК(У)-8.1.</w:t>
            </w:r>
          </w:p>
        </w:tc>
        <w:tc>
          <w:tcPr>
            <w:cnfStyle w:val="000000010000"/>
            <w:tcW w:w="2809" w:type="dxa"/>
            <w:vMerge w:val="continue"/>
          </w:tcPr>
          <w:p w14:paraId="000000AC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3369" w:type="dxa"/>
            <w:vMerge w:val="continue"/>
          </w:tcPr>
          <w:p w14:paraId="000000AD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</w:tr>
      <w:tr>
        <w:trPr>
          <w:trHeight w:val="412"/>
        </w:trPr>
        <w:tc>
          <w:tcPr>
            <w:cnfStyle w:val="001000100000"/>
            <w:tcW w:w="947" w:type="dxa"/>
            <w:shd w:val="clear" w:color="auto" w:fill="auto"/>
          </w:tcPr>
          <w:p w14:paraId="000000AE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РП-4</w:t>
            </w:r>
          </w:p>
        </w:tc>
        <w:tc>
          <w:tcPr>
            <w:cnfStyle w:val="000000100000"/>
            <w:tcW w:w="5198" w:type="dxa"/>
          </w:tcPr>
          <w:p w14:paraId="000000AF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Иметь опыт проведения расчетов для решения  инженерных задач.</w:t>
            </w:r>
          </w:p>
        </w:tc>
        <w:tc>
          <w:tcPr>
            <w:cnfStyle w:val="000000100000"/>
            <w:tcW w:w="2277" w:type="dxa"/>
          </w:tcPr>
          <w:p w14:paraId="000000B0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И.ОПК(У)-4.4,</w:t>
            </w:r>
          </w:p>
          <w:p w14:paraId="000000B1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И.ОПК(У)-5.1,</w:t>
            </w:r>
          </w:p>
          <w:p w14:paraId="000000B2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И.УК(У)-8.1.</w:t>
            </w:r>
          </w:p>
        </w:tc>
        <w:tc>
          <w:tcPr>
            <w:cnfStyle w:val="000000100000"/>
            <w:tcW w:w="2809" w:type="dxa"/>
            <w:vMerge w:val="continue"/>
          </w:tcPr>
          <w:p w14:paraId="000000B3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3369" w:type="dxa"/>
            <w:vMerge w:val="continue"/>
          </w:tcPr>
          <w:p w14:paraId="000000B4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</w:tr>
    </w:tbl>
    <w:p w14:paraId="000000B5">
      <w:pPr>
        <w:pStyle w:val="Heading1"/>
        <w:rPr/>
      </w:pPr>
      <w:r>
        <w:t>Шкала оценивания</w:t>
      </w:r>
    </w:p>
    <w:p w14:paraId="000000B6">
      <w:pPr>
        <w:pStyle w:val="Просттекстбезабз.отсупа"/>
        <w:rPr/>
      </w:pPr>
      <w:r>
        <w:t>Порядок организации оценивания результатов обучения в университете регламентируется отдельным локальным нормативным актом – «Система оценивания результатов обучения в Томском политехническом университете (Система оценивания)» (в действующей редакции). Используется балльно-рейтинговая система оценивания результатов обучения. Итоговая оценка (традиционная и литерная) по видам учебной деятельности (изучение дисциплин, УИРС, НИРС, курсовое проектирование, практики) определяется суммой баллов по результатам текущего контроля и промежуточной аттестации (итоговая рейтинговая оценка – максимум 100 баллов).</w:t>
      </w:r>
    </w:p>
    <w:p w14:paraId="000000B7">
      <w:pPr>
        <w:pStyle w:val="Просттекстбезабз.отсупа"/>
        <w:rPr/>
      </w:pPr>
    </w:p>
    <w:p w14:paraId="000000B8">
      <w:pPr>
        <w:pStyle w:val="Просттекстбезабз.отсупа"/>
        <w:rPr/>
      </w:pPr>
      <w:r>
        <w:t>Распределение баллов за оценочные мероприятия установлено в Аттестационном листе по практике (п. 6).</w:t>
      </w:r>
    </w:p>
    <w:p w14:paraId="000000B9">
      <w:pPr>
        <w:pStyle w:val="Безинтервала1"/>
        <w:rPr/>
      </w:pPr>
    </w:p>
    <w:p w14:paraId="000000BA">
      <w:pPr>
        <w:pStyle w:val="Названиеобъектацентр"/>
        <w:rPr>
          <w:b w:val="off"/>
        </w:rPr>
      </w:pPr>
      <w:r>
        <w:rPr>
          <w:b w:val="off"/>
        </w:rPr>
        <w:t>Шкала для оценочных мероприятий и дифференцированного зачета</w:t>
      </w:r>
    </w:p>
    <w:tbl>
      <w:tblPr>
        <w:tblW w:w="14600" w:type="dxa"/>
        <w:tblCellMar>
          <w:left w:w="0" w:type="dxa"/>
          <w:right w:w="0" w:type="dxa"/>
        </w:tblCellMar>
        <w:tblLook w:val="04A0"/>
      </w:tblPr>
      <w:tblGrid>
        <w:gridCol w:w="1405"/>
        <w:gridCol w:w="983"/>
        <w:gridCol w:w="1685"/>
        <w:gridCol w:w="1395"/>
        <w:gridCol w:w="9131"/>
      </w:tblGrid>
      <w:tr>
        <w:trPr>
          <w:trHeight w:val="277"/>
          <w:tblHeader w:val="on"/>
        </w:trPr>
        <w:tc>
          <w:tcPr>
            <w:cnfStyle w:val="10100000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000000BB">
            <w:pPr>
              <w:pStyle w:val="Шапка_табл"/>
              <w:rPr/>
            </w:pPr>
            <w:r>
              <w:t>Степень сформированности результатов обучения</w:t>
            </w:r>
          </w:p>
        </w:tc>
        <w:tc>
          <w:tcPr>
            <w:cnfStyle w:val="100000000000"/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000000BC">
            <w:pPr>
              <w:pStyle w:val="Шапка_табл"/>
              <w:rPr/>
            </w:pPr>
            <w:r>
              <w:t>Балл</w:t>
            </w:r>
          </w:p>
        </w:tc>
        <w:tc>
          <w:tcPr>
            <w:cnfStyle w:val="100000000000"/>
            <w:tcW w:w="31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000000BD">
            <w:pPr>
              <w:pStyle w:val="Шапка_табл"/>
              <w:rPr/>
            </w:pPr>
            <w:r>
              <w:t>Соответствие традиционной оценке</w:t>
            </w:r>
          </w:p>
        </w:tc>
        <w:tc>
          <w:tcPr>
            <w:cnfStyle w:val="100000000000"/>
            <w:tcW w:w="9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000000BE">
            <w:pPr>
              <w:pStyle w:val="Шапка_табл"/>
              <w:rPr/>
            </w:pPr>
            <w:r>
              <w:t>Определение оценки</w:t>
            </w:r>
          </w:p>
        </w:tc>
      </w:tr>
      <w:tr>
        <w:trPr>
          <w:trHeight w:val="445"/>
        </w:trPr>
        <w:tc>
          <w:tcPr>
            <w:cnfStyle w:val="00100010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0BF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90–100%</w:t>
            </w:r>
          </w:p>
        </w:tc>
        <w:tc>
          <w:tcPr>
            <w:cnfStyle w:val="000000100000"/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0C0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90–100</w:t>
            </w:r>
          </w:p>
        </w:tc>
        <w:tc>
          <w:tcPr>
            <w:cnfStyle w:val="000000100000"/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0C1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«Отлично»</w:t>
            </w:r>
          </w:p>
        </w:tc>
        <w:tc>
          <w:tcPr>
            <w:cnfStyle w:val="000000100000"/>
            <w:tcW w:w="14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000000C2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«Зачтено»</w:t>
            </w:r>
          </w:p>
        </w:tc>
        <w:tc>
          <w:tcPr>
            <w:cnfStyle w:val="000000100000"/>
            <w:tcW w:w="9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0C3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Отличное понимание предмета, всесторонние знания, отличные умения и владение опытом практической деятельности, необходимые результаты обучения сформированы, их качество оценено количеством баллов, близким к максимальному</w:t>
            </w:r>
          </w:p>
        </w:tc>
      </w:tr>
      <w:tr>
        <w:trPr>
          <w:trHeight w:val="534"/>
        </w:trPr>
        <w:tc>
          <w:tcPr>
            <w:cnfStyle w:val="00100001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0C4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70–89%</w:t>
            </w:r>
          </w:p>
        </w:tc>
        <w:tc>
          <w:tcPr>
            <w:cnfStyle w:val="000000010000"/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0C5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70–89</w:t>
            </w:r>
          </w:p>
        </w:tc>
        <w:tc>
          <w:tcPr>
            <w:cnfStyle w:val="000000010000"/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0C6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«Хорошо»</w:t>
            </w:r>
          </w:p>
        </w:tc>
        <w:tc>
          <w:tcPr>
            <w:cnfStyle w:val="000000010000"/>
            <w:tcW w:w="14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000000C7">
            <w:pPr>
              <w:spacing w:after="0" w:line="240" w:lineRule="auto"/>
              <w:ind w:left="57" w:right="57"/>
              <w:rPr>
                <w:sz w:val="20"/>
              </w:rPr>
            </w:pPr>
          </w:p>
        </w:tc>
        <w:tc>
          <w:tcPr>
            <w:cnfStyle w:val="000000010000"/>
            <w:tcW w:w="9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0C8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Достаточно полное понимание предмета, хорошие знания, умения и опыт практической деятельности, необходимые результаты обучения сформированы, качество ни одного из них не оценено минимальным количеством баллов</w:t>
            </w:r>
          </w:p>
        </w:tc>
      </w:tr>
      <w:tr>
        <w:trPr>
          <w:trHeight w:val="532"/>
        </w:trPr>
        <w:tc>
          <w:tcPr>
            <w:cnfStyle w:val="00100010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0C9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55–69%</w:t>
            </w:r>
          </w:p>
        </w:tc>
        <w:tc>
          <w:tcPr>
            <w:cnfStyle w:val="000000100000"/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0CA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55–69</w:t>
            </w:r>
          </w:p>
        </w:tc>
        <w:tc>
          <w:tcPr>
            <w:cnfStyle w:val="000000100000"/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0CB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«Удовл.»</w:t>
            </w:r>
          </w:p>
        </w:tc>
        <w:tc>
          <w:tcPr>
            <w:cnfStyle w:val="000000100000"/>
            <w:tcW w:w="140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CC">
            <w:pPr>
              <w:spacing w:after="0" w:line="240" w:lineRule="auto"/>
              <w:ind w:left="57" w:right="57"/>
              <w:rPr>
                <w:sz w:val="20"/>
              </w:rPr>
            </w:pPr>
          </w:p>
        </w:tc>
        <w:tc>
          <w:tcPr>
            <w:cnfStyle w:val="000000100000"/>
            <w:tcW w:w="9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0CD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Приемлемое понимание предмета, удовлетворительные знания, умения и опыт практической деятельности, необходимые результаты обучения сформированы, качество некоторых из них оценено минимальным количеством баллов</w:t>
            </w:r>
          </w:p>
        </w:tc>
      </w:tr>
      <w:tr>
        <w:trPr>
          <w:trHeight w:val="77"/>
        </w:trPr>
        <w:tc>
          <w:tcPr>
            <w:cnfStyle w:val="00100001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0CE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0–54%</w:t>
            </w:r>
          </w:p>
        </w:tc>
        <w:tc>
          <w:tcPr>
            <w:cnfStyle w:val="000000010000"/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0CF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0–54</w:t>
            </w:r>
          </w:p>
        </w:tc>
        <w:tc>
          <w:tcPr>
            <w:cnfStyle w:val="000000010000"/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0D0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«Неудовл.»</w:t>
            </w:r>
          </w:p>
        </w:tc>
        <w:tc>
          <w:tcPr>
            <w:cnfStyle w:val="000000010000"/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D1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«Не зачтено»</w:t>
            </w:r>
          </w:p>
        </w:tc>
        <w:tc>
          <w:tcPr>
            <w:cnfStyle w:val="000000010000"/>
            <w:tcW w:w="9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0D2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Результаты обучения не соответствуют минимально достаточным требованиям</w:t>
            </w:r>
          </w:p>
        </w:tc>
      </w:tr>
    </w:tbl>
    <w:p w14:paraId="000000D3">
      <w:pPr>
        <w:pStyle w:val="Heading1"/>
        <w:rPr/>
      </w:pPr>
      <w:r>
        <w:t>Перечень типовых заданий</w:t>
      </w:r>
    </w:p>
    <w:tbl>
      <w:tblPr>
        <w:tblStyle w:val="TableGrid"/>
        <w:tblW w:w="14600" w:type="dxa"/>
        <w:tblInd w:w="-5" w:type="dxa"/>
        <w:tblLayout w:type="fixed"/>
        <w:tblLook w:val="04A0"/>
      </w:tblPr>
      <w:tblGrid>
        <w:gridCol w:w="991"/>
        <w:gridCol w:w="3269"/>
        <w:gridCol w:w="10340"/>
      </w:tblGrid>
      <w:tr>
        <w:trPr>
          <w:trHeight w:val="425"/>
          <w:tblHeader w:val="on"/>
        </w:trPr>
        <w:tc>
          <w:tcPr>
            <w:cnfStyle w:val="101000000000"/>
            <w:tcW w:w="991" w:type="dxa"/>
            <w:shd w:val="clear" w:color="auto" w:fill="f2f2f2" w:themeFill="background1" w:themeFillShade="f2"/>
            <w:vAlign w:val="center"/>
          </w:tcPr>
          <w:p w14:paraId="000000D4">
            <w:pPr>
              <w:pStyle w:val="Шапка_табл"/>
              <w:rPr/>
            </w:pPr>
            <w:r>
              <w:t>№ п/п</w:t>
            </w:r>
          </w:p>
        </w:tc>
        <w:tc>
          <w:tcPr>
            <w:cnfStyle w:val="100000000000"/>
            <w:tcW w:w="3269" w:type="dxa"/>
            <w:shd w:val="clear" w:color="auto" w:fill="f2f2f2" w:themeFill="background1" w:themeFillShade="f2"/>
            <w:vAlign w:val="center"/>
          </w:tcPr>
          <w:p w14:paraId="000000D5">
            <w:pPr>
              <w:pStyle w:val="Шапка_табл"/>
              <w:rPr/>
            </w:pPr>
            <w:r>
              <w:t>Оценочные мероприятия</w:t>
            </w:r>
          </w:p>
        </w:tc>
        <w:tc>
          <w:tcPr>
            <w:cnfStyle w:val="100000000000"/>
            <w:tcW w:w="10340" w:type="dxa"/>
            <w:shd w:val="clear" w:color="auto" w:fill="f2f2f2" w:themeFill="background1" w:themeFillShade="f2"/>
            <w:vAlign w:val="center"/>
          </w:tcPr>
          <w:p w14:paraId="000000D6">
            <w:pPr>
              <w:pStyle w:val="Шапка_табл"/>
              <w:rPr/>
            </w:pPr>
            <w:r>
              <w:t>Примеры типовых контрольных заданий</w:t>
            </w:r>
          </w:p>
        </w:tc>
      </w:tr>
      <w:tr>
        <w:trPr/>
        <w:tc>
          <w:tcPr>
            <w:cnfStyle w:val="001000100000"/>
            <w:tcW w:w="991" w:type="dxa"/>
          </w:tcPr>
          <w:p w14:paraId="000000D7">
            <w:pPr>
              <w:pStyle w:val="ListParagraph"/>
              <w:widowControl w:val="on"/>
              <w:numPr>
                <w:ilvl w:val="0"/>
                <w:numId w:val="3"/>
              </w:numPr>
              <w:ind w:left="0" w:firstLine="360"/>
              <w:jc w:val="both"/>
              <w:rPr>
                <w:rFonts w:ascii="Times New Roman" w:cs="Times New Roman" w:eastAsia="Times New Roman" w:hAnsi="Times New Roman"/>
                <w:color w:val="auto"/>
                <w:sz w:val="20"/>
              </w:rPr>
            </w:pPr>
            <w:r>
              <w:rPr>
                <w:rFonts w:ascii="Times New Roman" w:cs="Times New Roman" w:eastAsia="Times New Roman" w:hAnsi="Times New Roman"/>
                <w:color w:val="auto"/>
              </w:rPr>
              <w:t>_</w:t>
            </w:r>
          </w:p>
        </w:tc>
        <w:tc>
          <w:tcPr>
            <w:cnfStyle w:val="000000100000"/>
            <w:tcW w:w="3269" w:type="dxa"/>
          </w:tcPr>
          <w:p w14:paraId="000000D8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</w:rPr>
              <w:t>Защита отчета по практике Основной этап (геологоразведочный)</w:t>
            </w:r>
          </w:p>
        </w:tc>
        <w:tc>
          <w:tcPr>
            <w:cnfStyle w:val="000000100000"/>
            <w:tcW w:w="10340" w:type="dxa"/>
          </w:tcPr>
          <w:p w14:paraId="000000D9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Вопросы:</w:t>
            </w:r>
          </w:p>
          <w:p w14:paraId="000000DA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1. Виды сейсмических волн, от чего зависит скорость прохождение волны и условия отражения от границ</w:t>
            </w:r>
          </w:p>
          <w:p w14:paraId="000000DB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</w:p>
          <w:p w14:paraId="000000DC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2. Естественная радиоактивность горных пород. Способы измерение</w:t>
            </w:r>
          </w:p>
          <w:p w14:paraId="000000D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</w:p>
          <w:p w14:paraId="000000DE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3. Электрический каротаж, схема зонда. Удельное электрическое сопротивления, единицы измерения</w:t>
            </w:r>
          </w:p>
          <w:p w14:paraId="000000DF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</w:p>
          <w:p w14:paraId="000000E0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 xml:space="preserve">4. Виды осадных пород: песчаник, аргиллит, алевролит глина – что является коллектором а что покрышкой </w:t>
            </w:r>
          </w:p>
          <w:p w14:paraId="000000E1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</w:p>
          <w:p w14:paraId="000000E2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5. Принцип работы тахеометра</w:t>
            </w:r>
          </w:p>
          <w:p w14:paraId="000000E3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</w:p>
          <w:p w14:paraId="000000E4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6. Определение погрешности измерений</w:t>
            </w:r>
          </w:p>
          <w:p w14:paraId="000000E5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</w:p>
          <w:p w14:paraId="000000E6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7. Координаты в какой системе координат получают при измерениях тахеометром?</w:t>
            </w:r>
          </w:p>
        </w:tc>
      </w:tr>
      <w:tr>
        <w:trPr/>
        <w:tc>
          <w:tcPr>
            <w:cnfStyle w:val="001000010000"/>
            <w:tcW w:w="991" w:type="dxa"/>
          </w:tcPr>
          <w:p w14:paraId="000000E7">
            <w:pPr>
              <w:pStyle w:val="ListParagraph"/>
              <w:widowControl w:val="on"/>
              <w:numPr>
                <w:ilvl w:val="0"/>
                <w:numId w:val="3"/>
              </w:numPr>
              <w:ind w:left="0" w:firstLine="360"/>
              <w:jc w:val="both"/>
              <w:rPr>
                <w:rFonts w:ascii="Times New Roman" w:cs="Times New Roman" w:eastAsia="Times New Roman" w:hAnsi="Times New Roman"/>
                <w:color w:val="auto"/>
                <w:sz w:val="20"/>
              </w:rPr>
            </w:pPr>
            <w:r>
              <w:rPr>
                <w:rFonts w:ascii="Times New Roman" w:cs="Times New Roman" w:eastAsia="Times New Roman" w:hAnsi="Times New Roman"/>
                <w:color w:val="auto"/>
              </w:rPr>
              <w:t>_</w:t>
            </w:r>
          </w:p>
        </w:tc>
        <w:tc>
          <w:tcPr>
            <w:cnfStyle w:val="000000010000"/>
            <w:tcW w:w="3269" w:type="dxa"/>
          </w:tcPr>
          <w:p w14:paraId="000000E8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</w:rPr>
              <w:t>Защита отчета по практике  Основной этап (геологический)</w:t>
            </w:r>
          </w:p>
        </w:tc>
        <w:tc>
          <w:tcPr>
            <w:cnfStyle w:val="000000010000"/>
            <w:tcW w:w="10340" w:type="dxa"/>
          </w:tcPr>
          <w:p w14:paraId="000000E9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Вопросы:</w:t>
            </w:r>
          </w:p>
          <w:p w14:paraId="000000EA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1. Что такое коллектор и покрышка?</w:t>
            </w:r>
          </w:p>
          <w:p w14:paraId="000000EB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</w:p>
          <w:p w14:paraId="000000EC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2. Виды геологических структур и тектонических нарушений</w:t>
            </w:r>
          </w:p>
          <w:p w14:paraId="000000E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</w:p>
          <w:p w14:paraId="000000EE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3. Фильтрационно- емкостные свойства коллектора, способы определения</w:t>
            </w:r>
          </w:p>
          <w:p w14:paraId="000000EF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</w:p>
          <w:p w14:paraId="000000F0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4. Карбонатные и терригенные коллектора, какие различие структуре порового пространства</w:t>
            </w:r>
          </w:p>
          <w:p w14:paraId="000000F1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</w:p>
          <w:p w14:paraId="000000F2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 xml:space="preserve">5. Понятие геологических свит и фаций </w:t>
            </w:r>
          </w:p>
          <w:p w14:paraId="000000F3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</w:p>
          <w:p w14:paraId="000000F4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6. Каким образом следует проводить отбор проб образцов? порядок изменений азимута и углов падение пласта?</w:t>
            </w:r>
          </w:p>
        </w:tc>
      </w:tr>
      <w:tr>
        <w:trPr/>
        <w:tc>
          <w:tcPr>
            <w:cnfStyle w:val="001000100000"/>
            <w:tcW w:w="991" w:type="dxa"/>
          </w:tcPr>
          <w:p w14:paraId="000000F5">
            <w:pPr>
              <w:pStyle w:val="ListParagraph"/>
              <w:widowControl w:val="on"/>
              <w:numPr>
                <w:ilvl w:val="0"/>
                <w:numId w:val="3"/>
              </w:numPr>
              <w:ind w:left="0" w:firstLine="360"/>
              <w:jc w:val="both"/>
              <w:rPr>
                <w:rFonts w:ascii="Times New Roman" w:cs="Times New Roman" w:eastAsia="Times New Roman" w:hAnsi="Times New Roman"/>
                <w:color w:val="auto"/>
                <w:sz w:val="20"/>
              </w:rPr>
            </w:pPr>
            <w:r>
              <w:rPr>
                <w:rFonts w:ascii="Times New Roman" w:cs="Times New Roman" w:eastAsia="Times New Roman" w:hAnsi="Times New Roman"/>
                <w:color w:val="auto"/>
              </w:rPr>
              <w:t>_</w:t>
            </w:r>
          </w:p>
        </w:tc>
        <w:tc>
          <w:tcPr>
            <w:cnfStyle w:val="000000100000"/>
            <w:tcW w:w="3269" w:type="dxa"/>
          </w:tcPr>
          <w:p w14:paraId="000000F6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</w:rPr>
              <w:t>Защита отчета по практике Основной этап (oil-case)</w:t>
            </w:r>
          </w:p>
        </w:tc>
        <w:tc>
          <w:tcPr>
            <w:cnfStyle w:val="000000100000"/>
            <w:tcW w:w="10340" w:type="dxa"/>
          </w:tcPr>
          <w:p w14:paraId="000000F7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Вопросы:</w:t>
            </w:r>
          </w:p>
          <w:p w14:paraId="000000F8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1. Выделение коллектор оценка характера насыщения по данным ГИС</w:t>
            </w:r>
          </w:p>
          <w:p w14:paraId="000000F9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</w:p>
          <w:p w14:paraId="000000FA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2. Как проследить границы пласта по данным сейсморазведки ?</w:t>
            </w:r>
          </w:p>
          <w:p w14:paraId="000000FB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</w:p>
          <w:p w14:paraId="000000FC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3. Формула подсчета запасов объемным методом</w:t>
            </w:r>
          </w:p>
          <w:p w14:paraId="000000F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</w:p>
          <w:p w14:paraId="000000FE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4. Для чего применяется геостатистака при подсчетах запасов?</w:t>
            </w:r>
          </w:p>
          <w:p w14:paraId="000000FF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</w:p>
          <w:p w14:paraId="00000100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5. Виды систем разработки. для чего применяются нагнетательные скважины?</w:t>
            </w:r>
          </w:p>
          <w:p w14:paraId="00000101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</w:p>
          <w:p w14:paraId="00000102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6. Классификация скважин, их конструкция и порядок строительства Течения жидкости в пласте</w:t>
            </w:r>
          </w:p>
          <w:p w14:paraId="00000103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7. Формула Дарси, Дюпии</w:t>
            </w:r>
          </w:p>
          <w:p w14:paraId="00000104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</w:p>
          <w:p w14:paraId="00000105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8. Свойства жидкостей и газа</w:t>
            </w:r>
          </w:p>
        </w:tc>
      </w:tr>
      <w:tr>
        <w:trPr/>
        <w:tc>
          <w:tcPr>
            <w:cnfStyle w:val="001000010000"/>
            <w:tcW w:w="991" w:type="dxa"/>
          </w:tcPr>
          <w:p w14:paraId="00000106">
            <w:pPr>
              <w:pStyle w:val="ListParagraph"/>
              <w:widowControl w:val="on"/>
              <w:numPr>
                <w:ilvl w:val="0"/>
                <w:numId w:val="3"/>
              </w:numPr>
              <w:ind w:left="0" w:firstLine="360"/>
              <w:jc w:val="both"/>
              <w:rPr>
                <w:rFonts w:ascii="Times New Roman" w:cs="Times New Roman" w:eastAsia="Times New Roman" w:hAnsi="Times New Roman"/>
                <w:color w:val="auto"/>
                <w:sz w:val="20"/>
              </w:rPr>
            </w:pPr>
            <w:r>
              <w:rPr>
                <w:rFonts w:ascii="Times New Roman" w:cs="Times New Roman" w:eastAsia="Times New Roman" w:hAnsi="Times New Roman"/>
                <w:color w:val="auto"/>
              </w:rPr>
              <w:t>_</w:t>
            </w:r>
          </w:p>
        </w:tc>
        <w:tc>
          <w:tcPr>
            <w:cnfStyle w:val="000000010000"/>
            <w:tcW w:w="3269" w:type="dxa"/>
          </w:tcPr>
          <w:p w14:paraId="00000107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</w:rPr>
              <w:t>Защита отчета по практике  Основной этап  (практическая специализация)</w:t>
            </w:r>
          </w:p>
        </w:tc>
        <w:tc>
          <w:tcPr>
            <w:cnfStyle w:val="000000010000"/>
            <w:tcW w:w="10340" w:type="dxa"/>
          </w:tcPr>
          <w:p w14:paraId="00000108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Вопросы:</w:t>
            </w:r>
          </w:p>
          <w:p w14:paraId="00000109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1. Какие технологии позволили провести экспериментальные исследования выбранного процесса?</w:t>
            </w:r>
          </w:p>
          <w:p w14:paraId="0000010A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2.  В чем заключалась последовательность изучения и практической реализации выбранного технического объекта?</w:t>
            </w:r>
          </w:p>
          <w:p w14:paraId="0000010B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3. Какие вы проводили расчеты изучаемых параметров и на каких принципах они базировались?</w:t>
            </w:r>
          </w:p>
          <w:p w14:paraId="0000010C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</w:p>
          <w:p w14:paraId="0000010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4. Объясните используемые принципы цифровизации при выполнении задания данного раздела практики?</w:t>
            </w:r>
          </w:p>
          <w:p w14:paraId="0000010E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</w:p>
          <w:p w14:paraId="0000010F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5. Опишите примененные программные продукты и какие задачи они позволили решить</w:t>
            </w:r>
          </w:p>
        </w:tc>
      </w:tr>
      <w:tr>
        <w:trPr/>
        <w:tc>
          <w:tcPr>
            <w:cnfStyle w:val="001000100000"/>
            <w:tcW w:w="991" w:type="dxa"/>
          </w:tcPr>
          <w:p w14:paraId="00000110">
            <w:pPr>
              <w:pStyle w:val="ListParagraph"/>
              <w:widowControl w:val="on"/>
              <w:numPr>
                <w:ilvl w:val="0"/>
                <w:numId w:val="3"/>
              </w:numPr>
              <w:ind w:left="0" w:firstLine="360"/>
              <w:jc w:val="both"/>
              <w:rPr>
                <w:rFonts w:ascii="Times New Roman" w:cs="Times New Roman" w:eastAsia="Times New Roman" w:hAnsi="Times New Roman"/>
                <w:color w:val="auto"/>
                <w:sz w:val="20"/>
              </w:rPr>
            </w:pPr>
            <w:r>
              <w:rPr>
                <w:rFonts w:ascii="Times New Roman" w:cs="Times New Roman" w:eastAsia="Times New Roman" w:hAnsi="Times New Roman"/>
                <w:color w:val="auto"/>
              </w:rPr>
              <w:t>_</w:t>
            </w:r>
          </w:p>
        </w:tc>
        <w:tc>
          <w:tcPr>
            <w:cnfStyle w:val="000000100000"/>
            <w:tcW w:w="3269" w:type="dxa"/>
          </w:tcPr>
          <w:p w14:paraId="00000111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</w:rPr>
              <w:t>Экспертная оценка руководителя практики от обеспечивающего подразделения ТПУ</w:t>
            </w:r>
          </w:p>
        </w:tc>
        <w:tc>
          <w:tcPr>
            <w:cnfStyle w:val="000000100000"/>
            <w:tcW w:w="10340" w:type="dxa"/>
          </w:tcPr>
          <w:p w14:paraId="00000112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Отзыв:</w:t>
            </w:r>
          </w:p>
          <w:p w14:paraId="00000113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1. Отзыв по стандартной форме: на основании результатов работы, отраженных в Дневнике практики и Отчете по практике.</w:t>
            </w:r>
          </w:p>
          <w:p w14:paraId="00000114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Требования к Отчету и Дневнику практики: 1. Оформите отчет и дневник по практике в соответствии с требованиями. Структура отчета: титульный лист отчета, индивидуальное задание на практику, введение, содержательная часть, заключение, список использованной литературы. Структура дневника: титульный лист дневника, обязанности обучающегося в период практики, индивидуальное задание на практику, план-график проведения практики, учет выполненной работы.</w:t>
            </w:r>
          </w:p>
        </w:tc>
      </w:tr>
    </w:tbl>
    <w:p w14:paraId="00000115">
      <w:pPr>
        <w:spacing w:after="0" w:line="240" w:lineRule="auto"/>
        <w:rPr>
          <w:rFonts w:eastAsia="Times New Roman"/>
          <w:szCs w:val="24"/>
        </w:rPr>
      </w:pPr>
    </w:p>
    <w:p w14:paraId="00000116">
      <w:pPr>
        <w:pStyle w:val="Heading1"/>
        <w:rPr/>
      </w:pPr>
      <w:r>
        <w:t>Методические указания по процедуре оценивания</w:t>
      </w:r>
    </w:p>
    <w:tbl>
      <w:tblPr>
        <w:tblStyle w:val="TableGrid"/>
        <w:tblW w:w="14600" w:type="dxa"/>
        <w:tblInd w:w="-5" w:type="dxa"/>
        <w:tblLayout w:type="fixed"/>
        <w:tblLook w:val="04A0"/>
      </w:tblPr>
      <w:tblGrid>
        <w:gridCol w:w="725"/>
        <w:gridCol w:w="3333"/>
        <w:gridCol w:w="10542"/>
      </w:tblGrid>
      <w:tr>
        <w:trPr>
          <w:trHeight w:val="425"/>
          <w:tblHeader w:val="on"/>
        </w:trPr>
        <w:tc>
          <w:tcPr>
            <w:cnfStyle w:val="101000000000"/>
            <w:tcW w:w="725" w:type="dxa"/>
            <w:shd w:val="clear" w:color="auto" w:fill="f2f2f2" w:themeFill="background1" w:themeFillShade="f2"/>
            <w:vAlign w:val="center"/>
          </w:tcPr>
          <w:p w14:paraId="00000117">
            <w:pPr>
              <w:pStyle w:val="Шапка_табл"/>
              <w:rPr/>
            </w:pPr>
            <w:r>
              <w:t>№ п/п</w:t>
            </w:r>
          </w:p>
        </w:tc>
        <w:tc>
          <w:tcPr>
            <w:cnfStyle w:val="100000000000"/>
            <w:tcW w:w="3333" w:type="dxa"/>
            <w:shd w:val="clear" w:color="auto" w:fill="f2f2f2" w:themeFill="background1" w:themeFillShade="f2"/>
            <w:vAlign w:val="center"/>
          </w:tcPr>
          <w:p w14:paraId="00000118">
            <w:pPr>
              <w:pStyle w:val="Шапка_табл"/>
              <w:rPr/>
            </w:pPr>
            <w:r>
              <w:t>Оценочные мероприятия</w:t>
            </w:r>
          </w:p>
        </w:tc>
        <w:tc>
          <w:tcPr>
            <w:cnfStyle w:val="100000000000"/>
            <w:tcW w:w="10542" w:type="dxa"/>
            <w:shd w:val="clear" w:color="auto" w:fill="f2f2f2" w:themeFill="background1" w:themeFillShade="f2"/>
            <w:vAlign w:val="center"/>
          </w:tcPr>
          <w:p w14:paraId="00000119">
            <w:pPr>
              <w:pStyle w:val="Шапка_табл"/>
              <w:rPr/>
            </w:pPr>
            <w:r>
              <w:t>Процедура проведения оценочного мероприятия и необходимые методические указания</w:t>
            </w:r>
          </w:p>
        </w:tc>
      </w:tr>
      <w:tr>
        <w:trPr/>
        <w:tc>
          <w:tcPr>
            <w:cnfStyle w:val="001000100000"/>
            <w:tcW w:w="725" w:type="dxa"/>
          </w:tcPr>
          <w:p w14:paraId="0000011A">
            <w:pPr>
              <w:pStyle w:val="ListParagraph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cs="Times New Roman" w:eastAsia="Times New Roman" w:hAnsi="Times New Roman"/>
                <w:color w:val="auto"/>
                <w:sz w:val="20"/>
              </w:rPr>
            </w:pPr>
            <w:r>
              <w:rPr>
                <w:rFonts w:ascii="Times New Roman" w:cs="Times New Roman" w:eastAsia="Times New Roman" w:hAnsi="Times New Roman"/>
                <w:color w:val="auto"/>
              </w:rPr>
              <w:t xml:space="preserve">{ </w:t>
            </w:r>
          </w:p>
        </w:tc>
        <w:tc>
          <w:tcPr>
            <w:cnfStyle w:val="000000100000"/>
            <w:tcW w:w="3333" w:type="dxa"/>
          </w:tcPr>
          <w:p w14:paraId="0000011B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Защита отчета по практике Основной этап (геологоразведочный)</w:t>
            </w:r>
          </w:p>
        </w:tc>
        <w:tc>
          <w:tcPr>
            <w:cnfStyle w:val="000000100000"/>
            <w:tcW w:w="10542" w:type="dxa"/>
          </w:tcPr>
          <w:p w14:paraId="0000011C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Оценивание проводит комиссия по защите практики, в количестве не менее двух человек, в т.ч. руководитель практики от ТПУ.</w:t>
            </w:r>
          </w:p>
          <w:p w14:paraId="0000011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На защите:</w:t>
            </w:r>
          </w:p>
          <w:p w14:paraId="0000011E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обучающийся предъявляет комиссии отчет и дневник практики и делает краткое сообщение, сопровождаемое показом демонстрационных материалов;</w:t>
            </w:r>
          </w:p>
          <w:p w14:paraId="0000011F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члены комиссии задают обучающемуся вопросы и заслушивают ответы;</w:t>
            </w:r>
          </w:p>
          <w:p w14:paraId="00000120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могут быть заданы теоретические и практические вопросы по представленным в отчете материалам и практике в целом;</w:t>
            </w:r>
          </w:p>
          <w:p w14:paraId="00000121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члены комиссии оценивают выполненную работу и ответы на вопросы в соответствии с критериями в п.3.</w:t>
            </w:r>
          </w:p>
          <w:p w14:paraId="00000122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Защита может проходить в публичной или индивидуальной форме.</w:t>
            </w:r>
          </w:p>
          <w:p w14:paraId="00000123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По итогам защиты комиссия делает выводы о степени сформированности результатов обучения в аттестационном листе практики.</w:t>
            </w:r>
          </w:p>
        </w:tc>
      </w:tr>
      <w:tr>
        <w:trPr/>
        <w:tc>
          <w:tcPr>
            <w:cnfStyle w:val="001000010000"/>
            <w:tcW w:w="725" w:type="dxa"/>
          </w:tcPr>
          <w:p w14:paraId="00000124">
            <w:pPr>
              <w:pStyle w:val="ListParagraph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cs="Times New Roman" w:eastAsia="Times New Roman" w:hAnsi="Times New Roman"/>
                <w:color w:val="auto"/>
                <w:sz w:val="20"/>
              </w:rPr>
            </w:pPr>
            <w:r>
              <w:rPr>
                <w:rFonts w:ascii="Times New Roman" w:cs="Times New Roman" w:eastAsia="Times New Roman" w:hAnsi="Times New Roman"/>
                <w:color w:val="auto"/>
              </w:rPr>
              <w:t xml:space="preserve">{ </w:t>
            </w:r>
          </w:p>
        </w:tc>
        <w:tc>
          <w:tcPr>
            <w:cnfStyle w:val="000000010000"/>
            <w:tcW w:w="3333" w:type="dxa"/>
          </w:tcPr>
          <w:p w14:paraId="00000125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Защита отчета по практике  Основной этап (геологический)</w:t>
            </w:r>
          </w:p>
        </w:tc>
        <w:tc>
          <w:tcPr>
            <w:cnfStyle w:val="000000010000"/>
            <w:tcW w:w="10542" w:type="dxa"/>
          </w:tcPr>
          <w:p w14:paraId="00000126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Оценивание проводит комиссия по защите практики, в количестве не менее двух человек, в т.ч. руководитель практики от ТПУ.</w:t>
            </w:r>
          </w:p>
          <w:p w14:paraId="00000127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На защите:</w:t>
            </w:r>
          </w:p>
          <w:p w14:paraId="00000128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обучающийся предъявляет комиссии отчет и дневник практики и делает краткое сообщение, сопровождаемое показом демонстрационных материалов;</w:t>
            </w:r>
          </w:p>
          <w:p w14:paraId="00000129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члены комиссии задают обучающемуся вопросы и заслушивают ответы;</w:t>
            </w:r>
          </w:p>
          <w:p w14:paraId="0000012A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могут быть заданы теоретические и практические вопросы по представленным в отчете материалам и практике в целом;</w:t>
            </w:r>
          </w:p>
          <w:p w14:paraId="0000012B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члены комиссии оценивают выполненную работу и ответы на вопросы в соответствии с критериями в п.3.</w:t>
            </w:r>
          </w:p>
          <w:p w14:paraId="0000012C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Защита может проходить в публичной или индивидуальной форме.</w:t>
            </w:r>
          </w:p>
          <w:p w14:paraId="0000012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По итогам защиты комиссия делает выводы о степени сформированности результатов обучения в аттестационном листе практики.</w:t>
            </w:r>
          </w:p>
        </w:tc>
      </w:tr>
      <w:tr>
        <w:trPr/>
        <w:tc>
          <w:tcPr>
            <w:cnfStyle w:val="001000100000"/>
            <w:tcW w:w="725" w:type="dxa"/>
          </w:tcPr>
          <w:p w14:paraId="0000012E">
            <w:pPr>
              <w:pStyle w:val="ListParagraph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cs="Times New Roman" w:eastAsia="Times New Roman" w:hAnsi="Times New Roman"/>
                <w:color w:val="auto"/>
                <w:sz w:val="20"/>
              </w:rPr>
            </w:pPr>
            <w:r>
              <w:rPr>
                <w:rFonts w:ascii="Times New Roman" w:cs="Times New Roman" w:eastAsia="Times New Roman" w:hAnsi="Times New Roman"/>
                <w:color w:val="auto"/>
              </w:rPr>
              <w:t xml:space="preserve">{ </w:t>
            </w:r>
          </w:p>
        </w:tc>
        <w:tc>
          <w:tcPr>
            <w:cnfStyle w:val="000000100000"/>
            <w:tcW w:w="3333" w:type="dxa"/>
          </w:tcPr>
          <w:p w14:paraId="0000012F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Защита отчета по практике Основной этап (oil-case)</w:t>
            </w:r>
          </w:p>
        </w:tc>
        <w:tc>
          <w:tcPr>
            <w:cnfStyle w:val="000000100000"/>
            <w:tcW w:w="10542" w:type="dxa"/>
          </w:tcPr>
          <w:p w14:paraId="00000130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Оценивание проводит комиссия по защите практики, в количестве не менее двух человек, в т.ч. руководитель практики от ТПУ.</w:t>
            </w:r>
          </w:p>
          <w:p w14:paraId="00000131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На защите:</w:t>
            </w:r>
          </w:p>
          <w:p w14:paraId="00000132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обучающийся предъявляет комиссии отчет и дневник практики и делает краткое сообщение, сопровождаемое показом демонстрационных материалов;</w:t>
            </w:r>
          </w:p>
          <w:p w14:paraId="00000133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члены комиссии задают обучающемуся вопросы и заслушивают ответы;</w:t>
            </w:r>
          </w:p>
          <w:p w14:paraId="00000134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могут быть заданы теоретические и практические вопросы по представленным в отчете материалам и практике в целом;</w:t>
            </w:r>
          </w:p>
          <w:p w14:paraId="00000135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члены комиссии оценивают выполненную работу и ответы на вопросы в соответствии с критериями в п.3.</w:t>
            </w:r>
          </w:p>
          <w:p w14:paraId="00000136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Защита может проходить в публичной или индивидуальной форме.</w:t>
            </w:r>
          </w:p>
          <w:p w14:paraId="00000137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По итогам защиты комиссия делает выводы о степени сформированности результатов обучения в аттестационном листе практики.</w:t>
            </w:r>
          </w:p>
        </w:tc>
      </w:tr>
      <w:tr>
        <w:trPr/>
        <w:tc>
          <w:tcPr>
            <w:cnfStyle w:val="001000010000"/>
            <w:tcW w:w="725" w:type="dxa"/>
          </w:tcPr>
          <w:p w14:paraId="00000138">
            <w:pPr>
              <w:pStyle w:val="ListParagraph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cs="Times New Roman" w:eastAsia="Times New Roman" w:hAnsi="Times New Roman"/>
                <w:color w:val="auto"/>
                <w:sz w:val="20"/>
              </w:rPr>
            </w:pPr>
            <w:r>
              <w:rPr>
                <w:rFonts w:ascii="Times New Roman" w:cs="Times New Roman" w:eastAsia="Times New Roman" w:hAnsi="Times New Roman"/>
                <w:color w:val="auto"/>
              </w:rPr>
              <w:t xml:space="preserve">{ </w:t>
            </w:r>
          </w:p>
        </w:tc>
        <w:tc>
          <w:tcPr>
            <w:cnfStyle w:val="000000010000"/>
            <w:tcW w:w="3333" w:type="dxa"/>
          </w:tcPr>
          <w:p w14:paraId="00000139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Защита отчета по практике  Основной этап  (практическая специализация)</w:t>
            </w:r>
          </w:p>
        </w:tc>
        <w:tc>
          <w:tcPr>
            <w:cnfStyle w:val="000000010000"/>
            <w:tcW w:w="10542" w:type="dxa"/>
          </w:tcPr>
          <w:p w14:paraId="0000013A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Оценивание проводит комиссия по защите практики, в количестве не менее двух человек, в т.ч. руководитель практики от ТПУ.</w:t>
            </w:r>
          </w:p>
          <w:p w14:paraId="0000013B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На защите:</w:t>
            </w:r>
          </w:p>
          <w:p w14:paraId="0000013C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обучающийся предъявляет комиссии отчет и дневник практики и делает краткое сообщение, сопровождаемое показом демонстрационных материалов;</w:t>
            </w:r>
          </w:p>
          <w:p w14:paraId="0000013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члены комиссии задают обучающемуся вопросы и заслушивают ответы;</w:t>
            </w:r>
          </w:p>
          <w:p w14:paraId="0000013E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могут быть заданы теоретические и практические вопросы по представленным в отчете материалам и практике в целом;</w:t>
            </w:r>
          </w:p>
          <w:p w14:paraId="0000013F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члены комиссии оценивают выполненную работу и ответы на вопросы в соответствии с критериями в п.3.</w:t>
            </w:r>
          </w:p>
          <w:p w14:paraId="00000140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Защита может проходить в публичной или индивидуальной форме.</w:t>
            </w:r>
          </w:p>
          <w:p w14:paraId="00000141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По итогам защиты комиссия делает выводы о степени сформированности результатов обучения в аттестационном листе практики.</w:t>
            </w:r>
          </w:p>
        </w:tc>
      </w:tr>
      <w:tr>
        <w:trPr/>
        <w:tc>
          <w:tcPr>
            <w:cnfStyle w:val="001000100000"/>
            <w:tcW w:w="725" w:type="dxa"/>
          </w:tcPr>
          <w:p w14:paraId="00000142">
            <w:pPr>
              <w:pStyle w:val="ListParagraph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cs="Times New Roman" w:eastAsia="Times New Roman" w:hAnsi="Times New Roman"/>
                <w:color w:val="auto"/>
                <w:sz w:val="20"/>
              </w:rPr>
            </w:pPr>
            <w:r>
              <w:rPr>
                <w:rFonts w:ascii="Times New Roman" w:cs="Times New Roman" w:eastAsia="Times New Roman" w:hAnsi="Times New Roman"/>
                <w:color w:val="auto"/>
              </w:rPr>
              <w:t xml:space="preserve">{ </w:t>
            </w:r>
          </w:p>
        </w:tc>
        <w:tc>
          <w:tcPr>
            <w:cnfStyle w:val="000000100000"/>
            <w:tcW w:w="3333" w:type="dxa"/>
          </w:tcPr>
          <w:p w14:paraId="00000143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Экспертная оценка руководителя практики от обеспечивающего подразделения ТПУ</w:t>
            </w:r>
          </w:p>
        </w:tc>
        <w:tc>
          <w:tcPr>
            <w:cnfStyle w:val="000000100000"/>
            <w:tcW w:w="10542" w:type="dxa"/>
          </w:tcPr>
          <w:p w14:paraId="00000144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Руководитель практики от ТПУ проводит оценивание на основании Отчета по практике:</w:t>
            </w:r>
          </w:p>
          <w:p w14:paraId="00000145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соответствие отчета о практике по структуре и содержанию установленным требованиям (Положение о практике);</w:t>
            </w:r>
          </w:p>
          <w:p w14:paraId="00000146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выполнение индивидуального задания практики в полном объеме;</w:t>
            </w:r>
          </w:p>
          <w:p w14:paraId="00000147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степень соответствия выполненных работ содержанию заявленных результатов обучения;</w:t>
            </w:r>
          </w:p>
          <w:p w14:paraId="00000148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четкость и техническая правильность оформления отчета и дневника практики;</w:t>
            </w:r>
          </w:p>
          <w:p w14:paraId="00000149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грамотность, раскрытие темы, глубина проработки, использование дополнительной литературы, демонстрационные материалы.</w:t>
            </w:r>
          </w:p>
          <w:p w14:paraId="0000014A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Результат оценивания: руководитель практики от ТПУ делает выводы о степени сформированности результатов обучения в Дневнике обучающегося по практике - отзыв руководителя практики от обеспечивающего подразделения ТПУ.</w:t>
            </w:r>
          </w:p>
        </w:tc>
      </w:tr>
    </w:tbl>
    <w:p w14:paraId="0000014B">
      <w:pPr>
        <w:rPr>
          <w:rFonts w:eastAsia="MS Mincho"/>
          <w:b/>
          <w:bCs/>
          <w:szCs w:val="24"/>
        </w:rPr>
      </w:pPr>
      <w:r>
        <w:rPr/>
        <w:br w:type="page"/>
      </w:r>
    </w:p>
    <w:p w14:paraId="0000014C">
      <w:pPr>
        <w:pStyle w:val="Heading1"/>
        <w:rPr/>
      </w:pPr>
      <w:r>
        <w:t>Аттестационный лист по практике</w:t>
      </w:r>
    </w:p>
    <w:tbl>
      <w:tblPr>
        <w:tblStyle w:val="TableGrid"/>
        <w:tblW w:w="0" w:type="auto"/>
        <w:tblInd w:w="-5" w:type="dxa"/>
        <w:tblCellMar>
          <w:left w:w="85" w:type="dxa"/>
          <w:right w:w="85" w:type="dxa"/>
        </w:tblCellMar>
        <w:tblLook w:val="04A0"/>
      </w:tblPr>
      <w:tblGrid>
        <w:gridCol w:w="1711"/>
        <w:gridCol w:w="1349"/>
        <w:gridCol w:w="903"/>
        <w:gridCol w:w="2018"/>
        <w:gridCol w:w="1416"/>
        <w:gridCol w:w="1415"/>
        <w:gridCol w:w="1416"/>
        <w:gridCol w:w="1415"/>
        <w:gridCol w:w="1506"/>
        <w:gridCol w:w="1416"/>
      </w:tblGrid>
      <w:tr>
        <w:trPr>
          <w:cantSplit w:val="on"/>
          <w:tblHeader w:val="on"/>
        </w:trPr>
        <w:tc>
          <w:tcPr>
            <w:cnfStyle w:val="101000000000"/>
            <w:tcW w:w="2373" w:type="dxa"/>
            <w:shd w:val="clear" w:color="auto" w:fill="ededed"/>
            <w:vAlign w:val="center"/>
          </w:tcPr>
          <w:p w14:paraId="0000014D">
            <w:pPr>
              <w:pStyle w:val="Шапка_табл"/>
              <w:rPr/>
            </w:pPr>
            <w:r>
              <w:t>Оценочное мероприятие</w:t>
            </w:r>
          </w:p>
        </w:tc>
        <w:tc>
          <w:tcPr>
            <w:cnfStyle w:val="100000000000"/>
            <w:tcW w:w="1524" w:type="dxa"/>
            <w:shd w:val="clear" w:color="auto" w:fill="ededed"/>
            <w:vAlign w:val="center"/>
          </w:tcPr>
          <w:p w14:paraId="0000014E">
            <w:pPr>
              <w:pStyle w:val="Шапка_табл"/>
              <w:rPr/>
            </w:pPr>
            <w:r>
              <w:t>Оценивание проводит</w:t>
            </w:r>
          </w:p>
        </w:tc>
        <w:tc>
          <w:tcPr>
            <w:cnfStyle w:val="100000000000"/>
            <w:tcW w:w="2223" w:type="dxa"/>
            <w:shd w:val="clear" w:color="auto" w:fill="ededed"/>
            <w:vAlign w:val="center"/>
          </w:tcPr>
          <w:p w14:paraId="0000014F">
            <w:pPr>
              <w:pStyle w:val="Шапка_табл"/>
              <w:rPr/>
            </w:pPr>
            <w:r>
              <w:t>Доля в оценке</w:t>
            </w:r>
          </w:p>
        </w:tc>
        <w:tc>
          <w:tcPr>
            <w:cnfStyle w:val="100000000000"/>
            <w:tcW w:w="4964" w:type="dxa"/>
            <w:shd w:val="clear" w:color="auto" w:fill="ededed"/>
            <w:vAlign w:val="center"/>
          </w:tcPr>
          <w:p w14:paraId="00000150">
            <w:pPr>
              <w:pStyle w:val="Шапка_табл"/>
              <w:rPr/>
            </w:pPr>
            <w:r>
              <w:t>Код и наименование результата обучения</w:t>
            </w:r>
          </w:p>
        </w:tc>
        <w:tc>
          <w:tcPr>
            <w:cnfStyle w:val="100000000000"/>
            <w:tcW w:w="3481" w:type="dxa"/>
            <w:shd w:val="clear" w:color="auto" w:fill="ededed"/>
            <w:vAlign w:val="center"/>
          </w:tcPr>
          <w:p w14:paraId="00000151">
            <w:pPr>
              <w:pStyle w:val="Шапка_табл"/>
              <w:rPr/>
            </w:pPr>
            <w:r>
              <w:t xml:space="preserve"> РП-1</w:t>
            </w:r>
          </w:p>
        </w:tc>
        <w:tc>
          <w:tcPr>
            <w:cnfStyle w:val="100000000000"/>
            <w:tcW w:w="3481" w:type="dxa"/>
            <w:shd w:val="clear" w:color="auto" w:fill="ededed"/>
            <w:vAlign w:val="center"/>
          </w:tcPr>
          <w:p w14:paraId="00000152">
            <w:pPr>
              <w:pStyle w:val="Шапка_табл"/>
              <w:rPr/>
            </w:pPr>
            <w:r>
              <w:t xml:space="preserve"> РП-2</w:t>
            </w:r>
          </w:p>
        </w:tc>
        <w:tc>
          <w:tcPr>
            <w:cnfStyle w:val="100000000000"/>
            <w:tcW w:w="3481" w:type="dxa"/>
            <w:shd w:val="clear" w:color="auto" w:fill="ededed"/>
            <w:vAlign w:val="center"/>
          </w:tcPr>
          <w:p w14:paraId="00000153">
            <w:pPr>
              <w:pStyle w:val="Шапка_табл"/>
              <w:rPr/>
            </w:pPr>
            <w:r>
              <w:t xml:space="preserve"> РП-3</w:t>
            </w:r>
          </w:p>
        </w:tc>
        <w:tc>
          <w:tcPr>
            <w:cnfStyle w:val="100000000000"/>
            <w:tcW w:w="3481" w:type="dxa"/>
            <w:shd w:val="clear" w:color="auto" w:fill="ededed"/>
            <w:vAlign w:val="center"/>
          </w:tcPr>
          <w:p w14:paraId="00000154">
            <w:pPr>
              <w:pStyle w:val="Шапка_табл"/>
              <w:rPr/>
            </w:pPr>
            <w:r>
              <w:t xml:space="preserve"> РП-4</w:t>
            </w:r>
          </w:p>
        </w:tc>
        <w:tc>
          <w:tcPr>
            <w:cnfStyle w:val="100000000000"/>
            <w:tcW w:w="3481" w:type="dxa"/>
            <w:shd w:val="clear" w:color="auto" w:fill="ededed"/>
            <w:vAlign w:val="center"/>
          </w:tcPr>
          <w:p w14:paraId="00000155">
            <w:pPr>
              <w:pStyle w:val="Шапка_табл"/>
              <w:rPr/>
            </w:pPr>
            <w:r>
              <w:t xml:space="preserve"> Балл по всем результатам</w:t>
            </w:r>
          </w:p>
        </w:tc>
      </w:tr>
      <w:tr>
        <w:trPr>
          <w:cantSplit w:val="on"/>
        </w:trPr>
        <w:tc>
          <w:tcPr>
            <w:cnfStyle w:val="001000100000"/>
            <w:tcW w:w="2373" w:type="dxa"/>
            <w:vMerge w:val="restart"/>
          </w:tcPr>
          <w:p w14:paraId="00000156">
            <w:pPr>
              <w:keepNext w:val="on"/>
              <w:keepLines w:val="on"/>
              <w:spacing w:after="0" w:line="240" w:lineRule="auto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sz w:val="20"/>
              </w:rPr>
              <w:t>Экспертная оценка руководителя практики от обеспечивающего подразделения ТПУ</w:t>
            </w:r>
          </w:p>
        </w:tc>
        <w:tc>
          <w:tcPr>
            <w:cnfStyle w:val="000000100000"/>
            <w:tcW w:w="1524" w:type="dxa"/>
            <w:vMerge w:val="restart"/>
          </w:tcPr>
          <w:p w14:paraId="00000157">
            <w:pPr>
              <w:keepNext w:val="on"/>
              <w:keepLines w:val="on"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Руководитель практики от ТПУ</w:t>
            </w:r>
          </w:p>
        </w:tc>
        <w:tc>
          <w:tcPr>
            <w:cnfStyle w:val="000000100000"/>
            <w:tcW w:w="2223" w:type="dxa"/>
            <w:vMerge w:val="restart"/>
          </w:tcPr>
          <w:p w14:paraId="00000158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40%</w:t>
            </w:r>
          </w:p>
        </w:tc>
        <w:tc>
          <w:tcPr>
            <w:cnfStyle w:val="000000100000"/>
            <w:tcW w:w="4964" w:type="dxa"/>
          </w:tcPr>
          <w:p w14:paraId="00000159">
            <w:pPr>
              <w:keepNext w:val="on"/>
              <w:keepLines w:val="on"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Вес результата</w:t>
            </w:r>
          </w:p>
        </w:tc>
        <w:tc>
          <w:tcPr>
            <w:cnfStyle w:val="000000100000"/>
            <w:tcW w:w="3481" w:type="dxa"/>
            <w:vAlign w:val="center"/>
          </w:tcPr>
          <w:p w14:paraId="0000015A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0,1</w:t>
            </w:r>
          </w:p>
        </w:tc>
        <w:tc>
          <w:tcPr>
            <w:cnfStyle w:val="000000100000"/>
            <w:tcW w:w="3481" w:type="dxa"/>
            <w:vAlign w:val="center"/>
          </w:tcPr>
          <w:p w14:paraId="0000015B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0,3</w:t>
            </w:r>
          </w:p>
        </w:tc>
        <w:tc>
          <w:tcPr>
            <w:cnfStyle w:val="000000100000"/>
            <w:tcW w:w="3481" w:type="dxa"/>
            <w:vAlign w:val="center"/>
          </w:tcPr>
          <w:p w14:paraId="0000015C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0,4</w:t>
            </w:r>
          </w:p>
        </w:tc>
        <w:tc>
          <w:tcPr>
            <w:cnfStyle w:val="000000100000"/>
            <w:tcW w:w="3481" w:type="dxa"/>
            <w:vAlign w:val="center"/>
          </w:tcPr>
          <w:p w14:paraId="0000015D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cnfStyle w:val="000000100000"/>
            <w:tcW w:w="3481" w:type="dxa"/>
            <w:vAlign w:val="center"/>
          </w:tcPr>
          <w:p w14:paraId="0000015E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1,0</w:t>
            </w:r>
          </w:p>
        </w:tc>
      </w:tr>
      <w:tr>
        <w:trPr>
          <w:cantSplit w:val="on"/>
        </w:trPr>
        <w:tc>
          <w:tcPr>
            <w:cnfStyle w:val="001000010000"/>
            <w:tcW w:w="2373" w:type="dxa"/>
            <w:vMerge w:val="continue"/>
          </w:tcPr>
          <w:p w14:paraId="0000015F"/>
        </w:tc>
        <w:tc>
          <w:tcPr>
            <w:cnfStyle w:val="000000010000"/>
            <w:tcW w:w="1524" w:type="dxa"/>
            <w:vMerge w:val="continue"/>
          </w:tcPr>
          <w:p w14:paraId="00000160"/>
        </w:tc>
        <w:tc>
          <w:tcPr>
            <w:cnfStyle w:val="000000010000"/>
            <w:tcW w:w="2223" w:type="dxa"/>
            <w:vMerge w:val="continue"/>
          </w:tcPr>
          <w:p w14:paraId="00000161"/>
        </w:tc>
        <w:tc>
          <w:tcPr>
            <w:cnfStyle w:val="000000010000"/>
            <w:tcW w:w="4964" w:type="dxa"/>
          </w:tcPr>
          <w:p w14:paraId="00000162">
            <w:pPr>
              <w:keepNext w:val="on"/>
              <w:keepLines w:val="on"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Максимальный балл</w:t>
            </w:r>
          </w:p>
        </w:tc>
        <w:tc>
          <w:tcPr>
            <w:cnfStyle w:val="000000010000"/>
            <w:tcW w:w="3481" w:type="dxa"/>
            <w:vAlign w:val="center"/>
          </w:tcPr>
          <w:p w14:paraId="00000163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</w:t>
            </w:r>
          </w:p>
        </w:tc>
        <w:tc>
          <w:tcPr>
            <w:cnfStyle w:val="000000010000"/>
            <w:tcW w:w="3481" w:type="dxa"/>
            <w:vAlign w:val="center"/>
          </w:tcPr>
          <w:p w14:paraId="00000164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30</w:t>
            </w:r>
          </w:p>
        </w:tc>
        <w:tc>
          <w:tcPr>
            <w:cnfStyle w:val="000000010000"/>
            <w:tcW w:w="3481" w:type="dxa"/>
            <w:vAlign w:val="center"/>
          </w:tcPr>
          <w:p w14:paraId="00000165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40</w:t>
            </w:r>
          </w:p>
        </w:tc>
        <w:tc>
          <w:tcPr>
            <w:cnfStyle w:val="000000010000"/>
            <w:tcW w:w="3481" w:type="dxa"/>
            <w:vAlign w:val="center"/>
          </w:tcPr>
          <w:p w14:paraId="00000166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cnfStyle w:val="000000010000"/>
            <w:tcW w:w="3481" w:type="dxa"/>
            <w:vAlign w:val="center"/>
          </w:tcPr>
          <w:p w14:paraId="00000167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100</w:t>
            </w:r>
          </w:p>
        </w:tc>
      </w:tr>
      <w:tr>
        <w:trPr>
          <w:cantSplit w:val="on"/>
        </w:trPr>
        <w:tc>
          <w:tcPr>
            <w:cnfStyle w:val="001000100000"/>
            <w:tcW w:w="2373" w:type="dxa"/>
            <w:vMerge w:val="continue"/>
          </w:tcPr>
          <w:p w14:paraId="00000168"/>
        </w:tc>
        <w:tc>
          <w:tcPr>
            <w:cnfStyle w:val="000000100000"/>
            <w:tcW w:w="1524" w:type="dxa"/>
            <w:vMerge w:val="continue"/>
          </w:tcPr>
          <w:p w14:paraId="00000169"/>
        </w:tc>
        <w:tc>
          <w:tcPr>
            <w:cnfStyle w:val="000000100000"/>
            <w:tcW w:w="2223" w:type="dxa"/>
            <w:vMerge w:val="continue"/>
          </w:tcPr>
          <w:p w14:paraId="0000016A"/>
        </w:tc>
        <w:tc>
          <w:tcPr>
            <w:cnfStyle w:val="000000100000"/>
            <w:tcW w:w="4964" w:type="dxa"/>
            <w:tcBorders>
              <w:bottom w:val="single" w:color="auto" w:sz="4" w:space="0"/>
            </w:tcBorders>
          </w:tcPr>
          <w:p w14:paraId="0000016B">
            <w:pPr>
              <w:keepNext w:val="on"/>
              <w:keepLines w:val="on"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Степень сформированности результата в диапазоне (0÷100)%</w:t>
            </w:r>
          </w:p>
        </w:tc>
        <w:tc>
          <w:tcPr>
            <w:cnfStyle w:val="000000100000"/>
            <w:tcW w:w="3481" w:type="dxa"/>
            <w:tcBorders>
              <w:bottom w:val="single" w:color="auto" w:sz="4" w:space="0"/>
            </w:tcBorders>
            <w:vAlign w:val="center"/>
          </w:tcPr>
          <w:p w14:paraId="0000016C"/>
        </w:tc>
        <w:tc>
          <w:tcPr>
            <w:cnfStyle w:val="000000100000"/>
            <w:tcW w:w="3481" w:type="dxa"/>
            <w:tcBorders>
              <w:bottom w:val="single" w:color="auto" w:sz="4" w:space="0"/>
            </w:tcBorders>
            <w:vAlign w:val="center"/>
          </w:tcPr>
          <w:p w14:paraId="0000016D"/>
        </w:tc>
        <w:tc>
          <w:tcPr>
            <w:cnfStyle w:val="000000100000"/>
            <w:tcW w:w="3481" w:type="dxa"/>
            <w:tcBorders>
              <w:bottom w:val="single" w:color="auto" w:sz="4" w:space="0"/>
            </w:tcBorders>
            <w:vAlign w:val="center"/>
          </w:tcPr>
          <w:p w14:paraId="0000016E"/>
        </w:tc>
        <w:tc>
          <w:tcPr>
            <w:cnfStyle w:val="000000100000"/>
            <w:tcW w:w="3481" w:type="dxa"/>
            <w:tcBorders>
              <w:bottom w:val="single" w:color="auto" w:sz="4" w:space="0"/>
            </w:tcBorders>
            <w:vAlign w:val="center"/>
          </w:tcPr>
          <w:p w14:paraId="0000016F"/>
        </w:tc>
        <w:tc>
          <w:tcPr>
            <w:cnfStyle w:val="000000100000"/>
            <w:tcW w:w="3481" w:type="dxa"/>
            <w:tcBorders>
              <w:bottom w:val="single" w:color="auto" w:sz="4" w:space="0"/>
            </w:tcBorders>
            <w:vAlign w:val="center"/>
          </w:tcPr>
          <w:p w14:paraId="00000170"/>
        </w:tc>
      </w:tr>
      <w:tr>
        <w:trPr>
          <w:cantSplit w:val="on"/>
          <w:trHeight w:val="322"/>
        </w:trPr>
        <w:tc>
          <w:tcPr>
            <w:cnfStyle w:val="001000010000"/>
            <w:tcW w:w="2373" w:type="dxa"/>
            <w:vMerge w:val="continue"/>
          </w:tcPr>
          <w:p w14:paraId="00000171"/>
        </w:tc>
        <w:tc>
          <w:tcPr>
            <w:cnfStyle w:val="000000010000"/>
            <w:tcW w:w="1524" w:type="dxa"/>
            <w:vMerge w:val="continue"/>
          </w:tcPr>
          <w:p w14:paraId="00000172"/>
        </w:tc>
        <w:tc>
          <w:tcPr>
            <w:cnfStyle w:val="000000010000"/>
            <w:tcW w:w="2223" w:type="dxa"/>
            <w:vMerge w:val="continue"/>
          </w:tcPr>
          <w:p w14:paraId="00000173"/>
        </w:tc>
        <w:tc>
          <w:tcPr>
            <w:cnfStyle w:val="000000010000"/>
            <w:tcW w:w="4964" w:type="dxa"/>
            <w:shd w:val="clear" w:color="auto" w:fill="c5d9f1" w:themeFill="text2" w:themeFillTint="33"/>
          </w:tcPr>
          <w:p w14:paraId="00000174">
            <w:pPr>
              <w:keepNext w:val="on"/>
              <w:keepLines w:val="on"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Балл за результат с учетом доли мероприятия</w:t>
            </w:r>
          </w:p>
        </w:tc>
        <w:tc>
          <w:tcPr>
            <w:cnfStyle w:val="000000010000"/>
            <w:tcW w:w="3481" w:type="dxa"/>
            <w:shd w:val="clear" w:color="auto" w:fill="c5d9f1" w:themeFill="text2" w:themeFillTint="33"/>
            <w:vAlign w:val="center"/>
          </w:tcPr>
          <w:p w14:paraId="00000175"/>
        </w:tc>
        <w:tc>
          <w:tcPr>
            <w:cnfStyle w:val="000000010000"/>
            <w:tcW w:w="3481" w:type="dxa"/>
            <w:shd w:val="clear" w:color="auto" w:fill="c5d9f1" w:themeFill="text2" w:themeFillTint="33"/>
            <w:vAlign w:val="center"/>
          </w:tcPr>
          <w:p w14:paraId="00000176"/>
        </w:tc>
        <w:tc>
          <w:tcPr>
            <w:cnfStyle w:val="000000010000"/>
            <w:tcW w:w="3481" w:type="dxa"/>
            <w:shd w:val="clear" w:color="auto" w:fill="c5d9f1" w:themeFill="text2" w:themeFillTint="33"/>
            <w:vAlign w:val="center"/>
          </w:tcPr>
          <w:p w14:paraId="00000177"/>
        </w:tc>
        <w:tc>
          <w:tcPr>
            <w:cnfStyle w:val="000000010000"/>
            <w:tcW w:w="3481" w:type="dxa"/>
            <w:shd w:val="clear" w:color="auto" w:fill="c5d9f1" w:themeFill="text2" w:themeFillTint="33"/>
            <w:vAlign w:val="center"/>
          </w:tcPr>
          <w:p w14:paraId="00000178"/>
        </w:tc>
        <w:tc>
          <w:tcPr>
            <w:cnfStyle w:val="000000010000"/>
            <w:tcW w:w="3481" w:type="dxa"/>
            <w:shd w:val="clear" w:color="auto" w:fill="c5d9f1" w:themeFill="text2" w:themeFillTint="33"/>
            <w:vAlign w:val="center"/>
          </w:tcPr>
          <w:p w14:paraId="00000179"/>
        </w:tc>
      </w:tr>
      <w:tr>
        <w:trPr>
          <w:cantSplit w:val="on"/>
        </w:trPr>
        <w:tc>
          <w:tcPr>
            <w:cnfStyle w:val="001000100000"/>
            <w:tcW w:w="2373" w:type="dxa"/>
            <w:vMerge w:val="restart"/>
          </w:tcPr>
          <w:p w14:paraId="0000017A">
            <w:pPr>
              <w:keepNext w:val="on"/>
              <w:keepLines w:val="on"/>
              <w:spacing w:after="0" w:line="240" w:lineRule="auto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sz w:val="20"/>
              </w:rPr>
              <w:t>Защита отчета по практике</w:t>
            </w:r>
          </w:p>
        </w:tc>
        <w:tc>
          <w:tcPr>
            <w:cnfStyle w:val="000000100000"/>
            <w:tcW w:w="1524" w:type="dxa"/>
            <w:vMerge w:val="restart"/>
          </w:tcPr>
          <w:p w14:paraId="0000017B">
            <w:pPr>
              <w:keepNext w:val="on"/>
              <w:keepLines w:val="on"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Члены комиссии</w:t>
            </w:r>
          </w:p>
        </w:tc>
        <w:tc>
          <w:tcPr>
            <w:cnfStyle w:val="000000100000"/>
            <w:tcW w:w="2223" w:type="dxa"/>
            <w:vMerge w:val="restart"/>
          </w:tcPr>
          <w:p w14:paraId="0000017C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60%</w:t>
            </w:r>
          </w:p>
        </w:tc>
        <w:tc>
          <w:tcPr>
            <w:cnfStyle w:val="000000100000"/>
            <w:tcW w:w="4964" w:type="dxa"/>
          </w:tcPr>
          <w:p w14:paraId="0000017D">
            <w:pPr>
              <w:keepNext w:val="on"/>
              <w:keepLines w:val="on"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Вес результата</w:t>
            </w:r>
          </w:p>
        </w:tc>
        <w:tc>
          <w:tcPr>
            <w:cnfStyle w:val="000000100000"/>
            <w:tcW w:w="3481" w:type="dxa"/>
            <w:vAlign w:val="center"/>
          </w:tcPr>
          <w:p w14:paraId="0000017E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0,1</w:t>
            </w:r>
          </w:p>
        </w:tc>
        <w:tc>
          <w:tcPr>
            <w:cnfStyle w:val="000000100000"/>
            <w:tcW w:w="3481" w:type="dxa"/>
            <w:vAlign w:val="center"/>
          </w:tcPr>
          <w:p w14:paraId="0000017F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0,3</w:t>
            </w:r>
          </w:p>
        </w:tc>
        <w:tc>
          <w:tcPr>
            <w:cnfStyle w:val="000000100000"/>
            <w:tcW w:w="3481" w:type="dxa"/>
            <w:vAlign w:val="center"/>
          </w:tcPr>
          <w:p w14:paraId="00000180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0,4</w:t>
            </w:r>
          </w:p>
        </w:tc>
        <w:tc>
          <w:tcPr>
            <w:cnfStyle w:val="000000100000"/>
            <w:tcW w:w="3481" w:type="dxa"/>
            <w:vAlign w:val="center"/>
          </w:tcPr>
          <w:p w14:paraId="00000181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cnfStyle w:val="000000100000"/>
            <w:tcW w:w="3481" w:type="dxa"/>
            <w:vAlign w:val="center"/>
          </w:tcPr>
          <w:p w14:paraId="00000182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1,0</w:t>
            </w:r>
          </w:p>
        </w:tc>
      </w:tr>
      <w:tr>
        <w:trPr>
          <w:cantSplit w:val="on"/>
        </w:trPr>
        <w:tc>
          <w:tcPr>
            <w:cnfStyle w:val="001000010000"/>
            <w:tcW w:w="2373" w:type="dxa"/>
            <w:vMerge w:val="continue"/>
          </w:tcPr>
          <w:p w14:paraId="00000183"/>
        </w:tc>
        <w:tc>
          <w:tcPr>
            <w:cnfStyle w:val="000000010000"/>
            <w:tcW w:w="1524" w:type="dxa"/>
            <w:vMerge w:val="continue"/>
          </w:tcPr>
          <w:p w14:paraId="00000184"/>
        </w:tc>
        <w:tc>
          <w:tcPr>
            <w:cnfStyle w:val="000000010000"/>
            <w:tcW w:w="2223" w:type="dxa"/>
            <w:vMerge w:val="continue"/>
          </w:tcPr>
          <w:p w14:paraId="00000185"/>
        </w:tc>
        <w:tc>
          <w:tcPr>
            <w:cnfStyle w:val="000000010000"/>
            <w:tcW w:w="4964" w:type="dxa"/>
          </w:tcPr>
          <w:p w14:paraId="00000186">
            <w:pPr>
              <w:keepNext w:val="on"/>
              <w:keepLines w:val="on"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Максимальный балл</w:t>
            </w:r>
          </w:p>
        </w:tc>
        <w:tc>
          <w:tcPr>
            <w:cnfStyle w:val="000000010000"/>
            <w:tcW w:w="3481" w:type="dxa"/>
            <w:vAlign w:val="center"/>
          </w:tcPr>
          <w:p w14:paraId="00000187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</w:t>
            </w:r>
          </w:p>
        </w:tc>
        <w:tc>
          <w:tcPr>
            <w:cnfStyle w:val="000000010000"/>
            <w:tcW w:w="3481" w:type="dxa"/>
            <w:vAlign w:val="center"/>
          </w:tcPr>
          <w:p w14:paraId="00000188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30</w:t>
            </w:r>
          </w:p>
        </w:tc>
        <w:tc>
          <w:tcPr>
            <w:cnfStyle w:val="000000010000"/>
            <w:tcW w:w="3481" w:type="dxa"/>
            <w:vAlign w:val="center"/>
          </w:tcPr>
          <w:p w14:paraId="00000189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40</w:t>
            </w:r>
          </w:p>
        </w:tc>
        <w:tc>
          <w:tcPr>
            <w:cnfStyle w:val="000000010000"/>
            <w:tcW w:w="3481" w:type="dxa"/>
            <w:vAlign w:val="center"/>
          </w:tcPr>
          <w:p w14:paraId="0000018A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cnfStyle w:val="000000010000"/>
            <w:tcW w:w="3481" w:type="dxa"/>
            <w:vAlign w:val="center"/>
          </w:tcPr>
          <w:p w14:paraId="0000018B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100</w:t>
            </w:r>
          </w:p>
        </w:tc>
      </w:tr>
      <w:tr>
        <w:trPr>
          <w:cantSplit w:val="on"/>
        </w:trPr>
        <w:tc>
          <w:tcPr>
            <w:cnfStyle w:val="001000100000"/>
            <w:tcW w:w="2373" w:type="dxa"/>
            <w:vMerge w:val="continue"/>
          </w:tcPr>
          <w:p w14:paraId="0000018C"/>
        </w:tc>
        <w:tc>
          <w:tcPr>
            <w:cnfStyle w:val="000000100000"/>
            <w:tcW w:w="1524" w:type="dxa"/>
            <w:vMerge w:val="continue"/>
          </w:tcPr>
          <w:p w14:paraId="0000018D"/>
        </w:tc>
        <w:tc>
          <w:tcPr>
            <w:cnfStyle w:val="000000100000"/>
            <w:tcW w:w="2223" w:type="dxa"/>
            <w:vMerge w:val="continue"/>
          </w:tcPr>
          <w:p w14:paraId="0000018E"/>
        </w:tc>
        <w:tc>
          <w:tcPr>
            <w:cnfStyle w:val="000000100000"/>
            <w:tcW w:w="4964" w:type="dxa"/>
            <w:tcBorders>
              <w:bottom w:val="single" w:color="auto" w:sz="4" w:space="0"/>
            </w:tcBorders>
          </w:tcPr>
          <w:p w14:paraId="0000018F">
            <w:pPr>
              <w:keepNext w:val="on"/>
              <w:keepLines w:val="on"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Степень сформированности результата в диапазоне (0÷100)%</w:t>
            </w:r>
          </w:p>
        </w:tc>
        <w:tc>
          <w:tcPr>
            <w:cnfStyle w:val="000000100000"/>
            <w:tcW w:w="3481" w:type="dxa"/>
            <w:tcBorders>
              <w:bottom w:val="single" w:color="auto" w:sz="4" w:space="0"/>
            </w:tcBorders>
            <w:vAlign w:val="center"/>
          </w:tcPr>
          <w:p w14:paraId="00000190"/>
        </w:tc>
        <w:tc>
          <w:tcPr>
            <w:cnfStyle w:val="000000100000"/>
            <w:tcW w:w="3481" w:type="dxa"/>
            <w:tcBorders>
              <w:bottom w:val="single" w:color="auto" w:sz="4" w:space="0"/>
            </w:tcBorders>
            <w:vAlign w:val="center"/>
          </w:tcPr>
          <w:p w14:paraId="00000191"/>
        </w:tc>
        <w:tc>
          <w:tcPr>
            <w:cnfStyle w:val="000000100000"/>
            <w:tcW w:w="3481" w:type="dxa"/>
            <w:tcBorders>
              <w:bottom w:val="single" w:color="auto" w:sz="4" w:space="0"/>
            </w:tcBorders>
            <w:vAlign w:val="center"/>
          </w:tcPr>
          <w:p w14:paraId="00000192"/>
        </w:tc>
        <w:tc>
          <w:tcPr>
            <w:cnfStyle w:val="000000100000"/>
            <w:tcW w:w="3481" w:type="dxa"/>
            <w:tcBorders>
              <w:bottom w:val="single" w:color="auto" w:sz="4" w:space="0"/>
            </w:tcBorders>
            <w:vAlign w:val="center"/>
          </w:tcPr>
          <w:p w14:paraId="00000193"/>
        </w:tc>
        <w:tc>
          <w:tcPr>
            <w:cnfStyle w:val="000000100000"/>
            <w:tcW w:w="3481" w:type="dxa"/>
            <w:tcBorders>
              <w:bottom w:val="single" w:color="auto" w:sz="4" w:space="0"/>
            </w:tcBorders>
            <w:vAlign w:val="center"/>
          </w:tcPr>
          <w:p w14:paraId="00000194"/>
        </w:tc>
      </w:tr>
      <w:tr>
        <w:trPr>
          <w:cantSplit w:val="on"/>
          <w:trHeight w:val="726"/>
        </w:trPr>
        <w:tc>
          <w:tcPr>
            <w:cnfStyle w:val="001000010000"/>
            <w:tcW w:w="2373" w:type="dxa"/>
            <w:vMerge w:val="continue"/>
          </w:tcPr>
          <w:p w14:paraId="00000195"/>
        </w:tc>
        <w:tc>
          <w:tcPr>
            <w:cnfStyle w:val="000000010000"/>
            <w:tcW w:w="1524" w:type="dxa"/>
            <w:vMerge w:val="continue"/>
          </w:tcPr>
          <w:p w14:paraId="00000196"/>
        </w:tc>
        <w:tc>
          <w:tcPr>
            <w:cnfStyle w:val="000000010000"/>
            <w:tcW w:w="2223" w:type="dxa"/>
            <w:vMerge w:val="continue"/>
          </w:tcPr>
          <w:p w14:paraId="00000197"/>
        </w:tc>
        <w:tc>
          <w:tcPr>
            <w:cnfStyle w:val="000000010000"/>
            <w:tcW w:w="4964" w:type="dxa"/>
            <w:shd w:val="clear" w:color="auto" w:fill="c5d9f1" w:themeFill="text2" w:themeFillTint="33"/>
          </w:tcPr>
          <w:p w14:paraId="00000198">
            <w:pPr>
              <w:keepNext w:val="on"/>
              <w:keepLines w:val="on"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Балл за результат с учетом доли мероприятия</w:t>
            </w:r>
          </w:p>
        </w:tc>
        <w:tc>
          <w:tcPr>
            <w:cnfStyle w:val="000000010000"/>
            <w:tcW w:w="3481" w:type="dxa"/>
            <w:shd w:val="clear" w:color="auto" w:fill="c5d9f1" w:themeFill="text2" w:themeFillTint="33"/>
            <w:vAlign w:val="center"/>
          </w:tcPr>
          <w:p w14:paraId="00000199"/>
        </w:tc>
        <w:tc>
          <w:tcPr>
            <w:cnfStyle w:val="000000010000"/>
            <w:tcW w:w="3481" w:type="dxa"/>
            <w:shd w:val="clear" w:color="auto" w:fill="c5d9f1" w:themeFill="text2" w:themeFillTint="33"/>
            <w:vAlign w:val="center"/>
          </w:tcPr>
          <w:p w14:paraId="0000019A"/>
        </w:tc>
        <w:tc>
          <w:tcPr>
            <w:cnfStyle w:val="000000010000"/>
            <w:tcW w:w="3481" w:type="dxa"/>
            <w:shd w:val="clear" w:color="auto" w:fill="c5d9f1" w:themeFill="text2" w:themeFillTint="33"/>
            <w:vAlign w:val="center"/>
          </w:tcPr>
          <w:p w14:paraId="0000019B"/>
        </w:tc>
        <w:tc>
          <w:tcPr>
            <w:cnfStyle w:val="000000010000"/>
            <w:tcW w:w="3481" w:type="dxa"/>
            <w:shd w:val="clear" w:color="auto" w:fill="c5d9f1" w:themeFill="text2" w:themeFillTint="33"/>
            <w:vAlign w:val="center"/>
          </w:tcPr>
          <w:p w14:paraId="0000019C"/>
        </w:tc>
        <w:tc>
          <w:tcPr>
            <w:cnfStyle w:val="000000010000"/>
            <w:tcW w:w="3481" w:type="dxa"/>
            <w:shd w:val="clear" w:color="auto" w:fill="c5d9f1" w:themeFill="text2" w:themeFillTint="33"/>
            <w:vAlign w:val="center"/>
          </w:tcPr>
          <w:p w14:paraId="0000019D"/>
        </w:tc>
      </w:tr>
      <w:tr>
        <w:trPr>
          <w:cantSplit w:val="on"/>
          <w:trHeight w:val="70"/>
        </w:trPr>
        <w:tc>
          <w:tcPr>
            <w:cnfStyle w:val="001000100000"/>
            <w:tcW w:w="11084" w:type="dxa"/>
            <w:gridSpan w:val="4"/>
            <w:vAlign w:val="center"/>
          </w:tcPr>
          <w:p w14:paraId="0000019E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b/>
                <w:sz w:val="20"/>
              </w:rPr>
              <w:t>Итоговый балл за результат (с учетом доли мероприятия)</w:t>
            </w:r>
          </w:p>
        </w:tc>
        <w:tc>
          <w:tcPr>
            <w:cnfStyle w:val="000000100000"/>
            <w:tcW w:w="3481" w:type="dxa"/>
            <w:shd w:val="clear" w:color="auto" w:fill="ffffff" w:themeFill="background1"/>
            <w:vAlign w:val="center"/>
          </w:tcPr>
          <w:p w14:paraId="0000019F"/>
        </w:tc>
        <w:tc>
          <w:tcPr>
            <w:cnfStyle w:val="000000100000"/>
            <w:tcW w:w="3481" w:type="dxa"/>
            <w:shd w:val="clear" w:color="auto" w:fill="ffffff" w:themeFill="background1"/>
            <w:vAlign w:val="center"/>
          </w:tcPr>
          <w:p w14:paraId="000001A0"/>
        </w:tc>
        <w:tc>
          <w:tcPr>
            <w:cnfStyle w:val="000000100000"/>
            <w:tcW w:w="3481" w:type="dxa"/>
            <w:shd w:val="clear" w:color="auto" w:fill="ffffff" w:themeFill="background1"/>
            <w:vAlign w:val="center"/>
          </w:tcPr>
          <w:p w14:paraId="000001A1"/>
        </w:tc>
        <w:tc>
          <w:tcPr>
            <w:cnfStyle w:val="000000100000"/>
            <w:tcW w:w="3481" w:type="dxa"/>
            <w:shd w:val="clear" w:color="auto" w:fill="ffffff" w:themeFill="background1"/>
            <w:vAlign w:val="center"/>
          </w:tcPr>
          <w:p w14:paraId="000001A2"/>
        </w:tc>
        <w:tc>
          <w:tcPr>
            <w:cnfStyle w:val="000000100000"/>
            <w:tcW w:w="3481" w:type="dxa"/>
            <w:shd w:val="clear" w:color="auto" w:fill="ffffff" w:themeFill="background1"/>
            <w:vAlign w:val="center"/>
          </w:tcPr>
          <w:p w14:paraId="000001A3"/>
        </w:tc>
      </w:tr>
      <w:tr>
        <w:trPr>
          <w:gridAfter w:val="1"/>
          <w:wAfter w:w="3481" w:type="dxa"/>
          <w:cantSplit w:val="on"/>
        </w:trPr>
        <w:tc>
          <w:tcPr>
            <w:cnfStyle w:val="001000010000"/>
            <w:tcW w:w="3897" w:type="dxa"/>
            <w:gridSpan w:val="7"/>
            <w:vAlign w:val="center"/>
          </w:tcPr>
          <w:p w14:paraId="000001A4">
            <w:pPr>
              <w:keepNext w:val="on"/>
              <w:keepLines w:val="on"/>
              <w:spacing w:after="0" w:line="240" w:lineRule="auto"/>
              <w:jc w:val="right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 xml:space="preserve"> Итоговая оценка в традиционной форме</w:t>
            </w:r>
          </w:p>
        </w:tc>
        <w:tc>
          <w:tcPr>
            <w:cnfStyle w:val="000000010000"/>
            <w:tcW w:w="7187" w:type="dxa"/>
            <w:gridSpan w:val="2"/>
            <w:vAlign w:val="center"/>
          </w:tcPr>
          <w:p w14:paraId="000001A5"/>
        </w:tc>
      </w:tr>
    </w:tbl>
    <w:p w14:paraId="000001A6">
      <w:pPr>
        <w:spacing w:after="0" w:line="240" w:lineRule="auto"/>
        <w:rPr>
          <w:rFonts w:eastAsia="Times New Roman"/>
        </w:rPr>
      </w:pPr>
    </w:p>
    <w:sectPr>
      <w:footerReference w:type="default" r:id="rId15"/>
      <w:pgSz w:w="16838" w:h="11909" w:orient="landscape"/>
      <w:pgMar w:top="1134" w:right="1134" w:bottom="1134" w:left="1134" w:header="567" w:footer="567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endnote w:type="separator" w:id="0">
    <w:p w14:paraId="00000003">
      <w:pPr>
        <w:spacing w:line="240" w:lineRule="auto"/>
        <w:rPr/>
      </w:pPr>
      <w:r>
        <w:rPr/>
        <w:separator/>
      </w:r>
    </w:p>
  </w:endnote>
  <w:endnote w:type="continuationSeparator" w:id="1">
    <w:p w14:paraId="00000004">
      <w:pPr>
        <w:spacing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00000000" w:usb1="6ac7fdfb" w:usb2="08000012" w:usb3="00000000" w:csb0="0002009f" w:csb1="00000000"/>
  </w:font>
  <w:font w:name="Tahoma">
    <w:panose1 w:val="020b0604030504040204"/>
    <w:charset w:val="00"/>
    <w:family w:val="swiss"/>
    <w:notTrueType w:val="o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2" w:usb2="00000000" w:usb3="00000000" w:csb0="0000009f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Arial Narrow">
    <w:altName w:val="Arial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1A8">
    <w:pPr>
      <w:widowControl w:val="off"/>
      <w:spacing w:after="0" w:line="240" w:lineRule="auto"/>
      <w:jc w:val="center"/>
      <w:rPr>
        <w:rFonts w:eastAsia="Times New Roman"/>
        <w:szCs w:val="24"/>
      </w:rPr>
    </w:pPr>
    <w:r>
      <w:rPr>
        <w:rFonts w:eastAsia="MS Mincho"/>
        <w:bCs/>
        <w:szCs w:val="24"/>
      </w:rPr>
      <w:t>2024 г.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1A9">
    <w:pPr>
      <w:pStyle w:val="Footer"/>
      <w:jc w:val="center"/>
      <w:rPr/>
    </w:pPr>
    <w:r>
      <w:fldChar w:fldCharType="begin"/>
    </w:r>
    <w:r>
      <w:instrText xml:space="preserve">PAGE   \* MERGEFORMAT</w:instrText>
    </w:r>
    <w:r>
      <w:fldChar w:fldCharType="separate"/>
    </w:r>
    <w:r>
      <w:t>5</w:t>
    </w:r>
    <w:r>
      <w:fldChar w:fldCharType="end"/>
    </w:r>
  </w:p>
  <w:p w14:paraId="000001AA">
    <w:pPr>
      <w:pStyle w:val="Footer"/>
      <w:rPr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footnote w:type="separator" w:id="0">
    <w:p w14:paraId="00000001">
      <w:pPr>
        <w:spacing w:after="0" w:line="240" w:lineRule="auto"/>
        <w:rPr/>
      </w:pPr>
      <w:r>
        <w:rPr/>
        <w:separator/>
      </w:r>
    </w:p>
  </w:footnote>
  <w:footnote w:type="continuationSeparator" w:id="1">
    <w:p w14:paraId="00000002">
      <w:pPr>
        <w:spacing w:after="0" w:line="240" w:lineRule="auto"/>
        <w:rPr/>
      </w:pPr>
      <w:r>
        <w:rPr/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1A7">
    <w:pPr>
      <w:pStyle w:val="Header"/>
      <w:jc w:val="center"/>
      <w:rPr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multiLevelType w:val="multilevel"/>
    <w:lvl w:ilvl="0" w:tentative="0">
      <w:start w:val="1"/>
      <w:numFmt w:val="decimal"/>
      <w:pStyle w:val="Heading1"/>
      <w:lvlText w:val="%1."/>
      <w:lvlJc w:val="left"/>
      <w:pPr>
        <w:ind w:left="360" w:hanging="360"/>
      </w:pPr>
      <w:rPr>
        <w:rFonts w:ascii="Times New Roman" w:cs="Times New Roman" w:hAnsi="Times New Roman" w:hint="default"/>
        <w:i w:val="off"/>
        <w:iCs w:val="off"/>
        <w:caps w:val="off"/>
        <w:smallCaps w:val="off"/>
        <w:vanish w:val="off"/>
        <w:color w:val="000000"/>
        <w:spacing w:val="0"/>
        <w:position w:val="0"/>
        <w:u w:val="none"/>
        <w:vertAlign w:val="baseline"/>
      </w:rPr>
    </w:lvl>
    <w:lvl w:ilvl="1" w:tentative="0">
      <w:start w:val="1"/>
      <w:numFmt w:val="decimal"/>
      <w:pStyle w:val="Heading2"/>
      <w:lvlText w:val="%1.%2."/>
      <w:lvlJc w:val="left"/>
      <w:pPr>
        <w:ind w:left="576" w:hanging="576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multiLevelType w:val="multilevel"/>
    <w:lvl w:ilvl="0" w:tentative="0">
      <w:start w:val="1"/>
      <w:numFmt w:val="bullet"/>
      <w:pStyle w:val="Марк_текст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DD0"/>
    <w:rsid w:val="84DEC1F6"/>
    <w:rsid w:val="8FF94F2E"/>
    <w:rsid w:val="9F4F1C71"/>
    <w:rsid w:val="B4EF3855"/>
    <w:rsid w:val="BB1B50D5"/>
    <w:rsid w:val="BE41D061"/>
    <w:rsid w:val="BF5DE801"/>
    <w:rsid w:val="BFCEEFA6"/>
    <w:rsid w:val="BFFB8E4D"/>
    <w:rsid w:val="CDEB5B7D"/>
    <w:rsid w:val="EEBA9925"/>
    <w:rsid w:val="F7FF0E83"/>
    <w:rsid w:val="FD2D88C0"/>
    <w:rsid w:val="FDF773CE"/>
    <w:rsid w:val="FDFD17C2"/>
    <w:rsid w:val="FF7BDF5E"/>
    <w:rsid w:val="FFED8D5A"/>
    <w:rsid w:val="FFEFADA3"/>
    <w:rsid w:val="FFF9FFE2"/>
    <w:rsid w:val="000071BD"/>
    <w:rsid w:val="000133E4"/>
    <w:rsid w:val="00016147"/>
    <w:rsid w:val="00023EFC"/>
    <w:rsid w:val="00057CAA"/>
    <w:rsid w:val="00063FC9"/>
    <w:rsid w:val="00065712"/>
    <w:rsid w:val="0008683D"/>
    <w:rsid w:val="00087CCE"/>
    <w:rsid w:val="0009021D"/>
    <w:rsid w:val="000B6836"/>
    <w:rsid w:val="000C1273"/>
    <w:rsid w:val="000C1D22"/>
    <w:rsid w:val="000C2EF1"/>
    <w:rsid w:val="000C77A9"/>
    <w:rsid w:val="000D4373"/>
    <w:rsid w:val="000E10D2"/>
    <w:rsid w:val="000F32FB"/>
    <w:rsid w:val="000F5202"/>
    <w:rsid w:val="000F6DD0"/>
    <w:rsid w:val="000F7258"/>
    <w:rsid w:val="0011369E"/>
    <w:rsid w:val="00114202"/>
    <w:rsid w:val="001318F1"/>
    <w:rsid w:val="00133EDB"/>
    <w:rsid w:val="0013680B"/>
    <w:rsid w:val="00137E54"/>
    <w:rsid w:val="001509FA"/>
    <w:rsid w:val="00171AA8"/>
    <w:rsid w:val="00177332"/>
    <w:rsid w:val="00192AB3"/>
    <w:rsid w:val="0019790E"/>
    <w:rsid w:val="001A25E6"/>
    <w:rsid w:val="001B04B6"/>
    <w:rsid w:val="001B442F"/>
    <w:rsid w:val="001C0040"/>
    <w:rsid w:val="001D620C"/>
    <w:rsid w:val="001D6EC7"/>
    <w:rsid w:val="001D7663"/>
    <w:rsid w:val="001E0DF4"/>
    <w:rsid w:val="001E1869"/>
    <w:rsid w:val="001E6E65"/>
    <w:rsid w:val="00220170"/>
    <w:rsid w:val="00230DA3"/>
    <w:rsid w:val="00231421"/>
    <w:rsid w:val="0024023C"/>
    <w:rsid w:val="00247417"/>
    <w:rsid w:val="0026351B"/>
    <w:rsid w:val="0029015B"/>
    <w:rsid w:val="002B1D41"/>
    <w:rsid w:val="002C6DB0"/>
    <w:rsid w:val="002D172D"/>
    <w:rsid w:val="002D6E02"/>
    <w:rsid w:val="002D7396"/>
    <w:rsid w:val="002E1D7F"/>
    <w:rsid w:val="002F4B53"/>
    <w:rsid w:val="002F62F4"/>
    <w:rsid w:val="00306392"/>
    <w:rsid w:val="00310151"/>
    <w:rsid w:val="00311AD5"/>
    <w:rsid w:val="00311F00"/>
    <w:rsid w:val="00313550"/>
    <w:rsid w:val="003170D0"/>
    <w:rsid w:val="003401C1"/>
    <w:rsid w:val="00340AE8"/>
    <w:rsid w:val="003420A4"/>
    <w:rsid w:val="00351007"/>
    <w:rsid w:val="00357958"/>
    <w:rsid w:val="0036353F"/>
    <w:rsid w:val="00364773"/>
    <w:rsid w:val="003831F1"/>
    <w:rsid w:val="003853D0"/>
    <w:rsid w:val="00385DD0"/>
    <w:rsid w:val="00391D78"/>
    <w:rsid w:val="003926BF"/>
    <w:rsid w:val="003A5D13"/>
    <w:rsid w:val="003A6C86"/>
    <w:rsid w:val="003B0443"/>
    <w:rsid w:val="003B154F"/>
    <w:rsid w:val="003B3367"/>
    <w:rsid w:val="003C0E25"/>
    <w:rsid w:val="003C464D"/>
    <w:rsid w:val="003C4A97"/>
    <w:rsid w:val="003C714E"/>
    <w:rsid w:val="003D67D3"/>
    <w:rsid w:val="003D6AD5"/>
    <w:rsid w:val="003D6E78"/>
    <w:rsid w:val="003F31DF"/>
    <w:rsid w:val="003F7E97"/>
    <w:rsid w:val="00401660"/>
    <w:rsid w:val="00402172"/>
    <w:rsid w:val="0040478C"/>
    <w:rsid w:val="00405A8F"/>
    <w:rsid w:val="00405B8C"/>
    <w:rsid w:val="00406618"/>
    <w:rsid w:val="00422B53"/>
    <w:rsid w:val="004415A3"/>
    <w:rsid w:val="00462F35"/>
    <w:rsid w:val="00465507"/>
    <w:rsid w:val="004714D0"/>
    <w:rsid w:val="004715D2"/>
    <w:rsid w:val="0049628B"/>
    <w:rsid w:val="00497149"/>
    <w:rsid w:val="00497158"/>
    <w:rsid w:val="004A4FC0"/>
    <w:rsid w:val="004A6723"/>
    <w:rsid w:val="004B1BB4"/>
    <w:rsid w:val="004B6111"/>
    <w:rsid w:val="004C11EE"/>
    <w:rsid w:val="004C364F"/>
    <w:rsid w:val="004E210D"/>
    <w:rsid w:val="004F56BF"/>
    <w:rsid w:val="00501A5C"/>
    <w:rsid w:val="0050702C"/>
    <w:rsid w:val="0051019B"/>
    <w:rsid w:val="00526E75"/>
    <w:rsid w:val="0053132C"/>
    <w:rsid w:val="0053391C"/>
    <w:rsid w:val="00534105"/>
    <w:rsid w:val="00545A22"/>
    <w:rsid w:val="00564749"/>
    <w:rsid w:val="0056681F"/>
    <w:rsid w:val="00574EA3"/>
    <w:rsid w:val="00574F3C"/>
    <w:rsid w:val="00595BD2"/>
    <w:rsid w:val="005A4F8E"/>
    <w:rsid w:val="005A7C06"/>
    <w:rsid w:val="005A7EAF"/>
    <w:rsid w:val="005B0EC4"/>
    <w:rsid w:val="005B2B10"/>
    <w:rsid w:val="005C49E1"/>
    <w:rsid w:val="005C4A1B"/>
    <w:rsid w:val="005C5838"/>
    <w:rsid w:val="005C7725"/>
    <w:rsid w:val="005D0480"/>
    <w:rsid w:val="005D4AA0"/>
    <w:rsid w:val="005D76C6"/>
    <w:rsid w:val="005E6B54"/>
    <w:rsid w:val="005E6B83"/>
    <w:rsid w:val="005F32FE"/>
    <w:rsid w:val="00605BA3"/>
    <w:rsid w:val="00607E3E"/>
    <w:rsid w:val="006135FE"/>
    <w:rsid w:val="00613975"/>
    <w:rsid w:val="0061456C"/>
    <w:rsid w:val="0062055C"/>
    <w:rsid w:val="0063436B"/>
    <w:rsid w:val="00641D92"/>
    <w:rsid w:val="00643707"/>
    <w:rsid w:val="0064387E"/>
    <w:rsid w:val="00644423"/>
    <w:rsid w:val="00646B86"/>
    <w:rsid w:val="00665369"/>
    <w:rsid w:val="006675A1"/>
    <w:rsid w:val="00680010"/>
    <w:rsid w:val="00680603"/>
    <w:rsid w:val="0068647E"/>
    <w:rsid w:val="006B12B6"/>
    <w:rsid w:val="006B2AA4"/>
    <w:rsid w:val="006B7F52"/>
    <w:rsid w:val="006D189B"/>
    <w:rsid w:val="006D7390"/>
    <w:rsid w:val="006F2160"/>
    <w:rsid w:val="006F5FB8"/>
    <w:rsid w:val="00700C15"/>
    <w:rsid w:val="007020B7"/>
    <w:rsid w:val="00707E5B"/>
    <w:rsid w:val="007176E4"/>
    <w:rsid w:val="00724BFC"/>
    <w:rsid w:val="0072683B"/>
    <w:rsid w:val="00730E55"/>
    <w:rsid w:val="00732967"/>
    <w:rsid w:val="007545E1"/>
    <w:rsid w:val="00780438"/>
    <w:rsid w:val="00786079"/>
    <w:rsid w:val="00787491"/>
    <w:rsid w:val="007922C8"/>
    <w:rsid w:val="00794281"/>
    <w:rsid w:val="007B22DF"/>
    <w:rsid w:val="007B4B45"/>
    <w:rsid w:val="007C1CC2"/>
    <w:rsid w:val="007C5937"/>
    <w:rsid w:val="007D3D92"/>
    <w:rsid w:val="007D3DEB"/>
    <w:rsid w:val="00804D5D"/>
    <w:rsid w:val="00827ED6"/>
    <w:rsid w:val="008346D7"/>
    <w:rsid w:val="00845C9B"/>
    <w:rsid w:val="008745FC"/>
    <w:rsid w:val="008A7B72"/>
    <w:rsid w:val="008B180F"/>
    <w:rsid w:val="008C5696"/>
    <w:rsid w:val="008C60BC"/>
    <w:rsid w:val="008D518A"/>
    <w:rsid w:val="008E7C14"/>
    <w:rsid w:val="008F253D"/>
    <w:rsid w:val="008F5872"/>
    <w:rsid w:val="00900018"/>
    <w:rsid w:val="009025D3"/>
    <w:rsid w:val="00910D27"/>
    <w:rsid w:val="00911553"/>
    <w:rsid w:val="00912ED1"/>
    <w:rsid w:val="00926EFE"/>
    <w:rsid w:val="009323D2"/>
    <w:rsid w:val="00953601"/>
    <w:rsid w:val="009667F7"/>
    <w:rsid w:val="009A2B71"/>
    <w:rsid w:val="009A640E"/>
    <w:rsid w:val="009B32A9"/>
    <w:rsid w:val="009B33FA"/>
    <w:rsid w:val="009C113A"/>
    <w:rsid w:val="009C2CD3"/>
    <w:rsid w:val="009C7B88"/>
    <w:rsid w:val="009D0193"/>
    <w:rsid w:val="009D17E5"/>
    <w:rsid w:val="00A00932"/>
    <w:rsid w:val="00A01908"/>
    <w:rsid w:val="00A06C89"/>
    <w:rsid w:val="00A071F9"/>
    <w:rsid w:val="00A20EE5"/>
    <w:rsid w:val="00A33131"/>
    <w:rsid w:val="00A36539"/>
    <w:rsid w:val="00A42C59"/>
    <w:rsid w:val="00A62977"/>
    <w:rsid w:val="00A658E3"/>
    <w:rsid w:val="00A70FBD"/>
    <w:rsid w:val="00A717BA"/>
    <w:rsid w:val="00A766A5"/>
    <w:rsid w:val="00A8021C"/>
    <w:rsid w:val="00A81A37"/>
    <w:rsid w:val="00A90540"/>
    <w:rsid w:val="00A95251"/>
    <w:rsid w:val="00AA3AE9"/>
    <w:rsid w:val="00AA66A3"/>
    <w:rsid w:val="00AB53FE"/>
    <w:rsid w:val="00AC2442"/>
    <w:rsid w:val="00AD03C5"/>
    <w:rsid w:val="00AE0DF2"/>
    <w:rsid w:val="00AF5940"/>
    <w:rsid w:val="00B135FE"/>
    <w:rsid w:val="00B15A6F"/>
    <w:rsid w:val="00B43948"/>
    <w:rsid w:val="00B477B7"/>
    <w:rsid w:val="00B62758"/>
    <w:rsid w:val="00B62F1F"/>
    <w:rsid w:val="00B7109D"/>
    <w:rsid w:val="00B85BB0"/>
    <w:rsid w:val="00B9591B"/>
    <w:rsid w:val="00B97FC2"/>
    <w:rsid w:val="00BA4B27"/>
    <w:rsid w:val="00BA5979"/>
    <w:rsid w:val="00BA623F"/>
    <w:rsid w:val="00BB39AA"/>
    <w:rsid w:val="00BC2694"/>
    <w:rsid w:val="00BC63AC"/>
    <w:rsid w:val="00C10F43"/>
    <w:rsid w:val="00C245E5"/>
    <w:rsid w:val="00C274C9"/>
    <w:rsid w:val="00C331E2"/>
    <w:rsid w:val="00C47E99"/>
    <w:rsid w:val="00C55EC3"/>
    <w:rsid w:val="00C67CBF"/>
    <w:rsid w:val="00C72678"/>
    <w:rsid w:val="00C779CD"/>
    <w:rsid w:val="00C82415"/>
    <w:rsid w:val="00C82A10"/>
    <w:rsid w:val="00C854C5"/>
    <w:rsid w:val="00CA1838"/>
    <w:rsid w:val="00CA6C57"/>
    <w:rsid w:val="00CA73B9"/>
    <w:rsid w:val="00CB172D"/>
    <w:rsid w:val="00CB3214"/>
    <w:rsid w:val="00CC135A"/>
    <w:rsid w:val="00CC2D78"/>
    <w:rsid w:val="00CD3E42"/>
    <w:rsid w:val="00CE2343"/>
    <w:rsid w:val="00CF2741"/>
    <w:rsid w:val="00CF31B8"/>
    <w:rsid w:val="00CF6BD8"/>
    <w:rsid w:val="00CF7069"/>
    <w:rsid w:val="00D0684B"/>
    <w:rsid w:val="00D075C5"/>
    <w:rsid w:val="00D11808"/>
    <w:rsid w:val="00D3328B"/>
    <w:rsid w:val="00D423D5"/>
    <w:rsid w:val="00D619DE"/>
    <w:rsid w:val="00D67778"/>
    <w:rsid w:val="00D85A0E"/>
    <w:rsid w:val="00DA028F"/>
    <w:rsid w:val="00DA0C1E"/>
    <w:rsid w:val="00DA53B9"/>
    <w:rsid w:val="00DB19C2"/>
    <w:rsid w:val="00DC0EA5"/>
    <w:rsid w:val="00DC255C"/>
    <w:rsid w:val="00DC5BE9"/>
    <w:rsid w:val="00DC74A9"/>
    <w:rsid w:val="00DE1CC8"/>
    <w:rsid w:val="00DE57C3"/>
    <w:rsid w:val="00DF2DBA"/>
    <w:rsid w:val="00DF6EA8"/>
    <w:rsid w:val="00E00163"/>
    <w:rsid w:val="00E0137C"/>
    <w:rsid w:val="00E0322C"/>
    <w:rsid w:val="00E10C14"/>
    <w:rsid w:val="00E1196D"/>
    <w:rsid w:val="00E11B87"/>
    <w:rsid w:val="00E20DD6"/>
    <w:rsid w:val="00E217DE"/>
    <w:rsid w:val="00E242B7"/>
    <w:rsid w:val="00E316A5"/>
    <w:rsid w:val="00E37458"/>
    <w:rsid w:val="00E4263D"/>
    <w:rsid w:val="00E434E6"/>
    <w:rsid w:val="00E5060D"/>
    <w:rsid w:val="00E536C9"/>
    <w:rsid w:val="00E62C7E"/>
    <w:rsid w:val="00E7325F"/>
    <w:rsid w:val="00E9254C"/>
    <w:rsid w:val="00EB767A"/>
    <w:rsid w:val="00ED4848"/>
    <w:rsid w:val="00ED6A12"/>
    <w:rsid w:val="00EE36C3"/>
    <w:rsid w:val="00EF5DDC"/>
    <w:rsid w:val="00EF6C76"/>
    <w:rsid w:val="00F0425E"/>
    <w:rsid w:val="00F246AE"/>
    <w:rsid w:val="00F274E5"/>
    <w:rsid w:val="00F46133"/>
    <w:rsid w:val="00F55FA6"/>
    <w:rsid w:val="00F646ED"/>
    <w:rsid w:val="00F70EB3"/>
    <w:rsid w:val="00F914C0"/>
    <w:rsid w:val="00F96976"/>
    <w:rsid w:val="00FA1373"/>
    <w:rsid w:val="00FA19EB"/>
    <w:rsid w:val="00FA1D94"/>
    <w:rsid w:val="00FB1F41"/>
    <w:rsid w:val="00FB5A83"/>
    <w:rsid w:val="00FC4A53"/>
    <w:rsid w:val="00FC5CBE"/>
    <w:rsid w:val="00FD3075"/>
    <w:rsid w:val="00FD4E3B"/>
    <w:rsid w:val="00FD74E4"/>
    <w:rsid w:val="00FD7B77"/>
    <w:rsid w:val="00FE0551"/>
    <w:rsid w:val="00FF153C"/>
    <w:rsid w:val="00FF5FB6"/>
    <w:rsid w:val="3FF50B80"/>
    <w:rsid w:val="567BE7F3"/>
    <w:rsid w:val="5CAF8F5E"/>
    <w:rsid w:val="63FF9BA3"/>
    <w:rsid w:val="6AC6455B"/>
    <w:rsid w:val="6F9C2817"/>
    <w:rsid w:val="6FBF79BC"/>
    <w:rsid w:val="6FE3B0F1"/>
    <w:rsid w:val="7B7B2218"/>
    <w:rsid w:val="7BFCB894"/>
    <w:rsid w:val="7E75C7C0"/>
    <w:rsid w:val="7FE9F2A6"/>
    <w:rsid w:val="7FFCB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13545"/>
  <w15:docId w15:val="{79C7659B-B8FE-4011-8E5E-AF60A7BE2A74}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="Times New Roman" w:cs="Times New Roman" w:eastAsia="SimSun" w:hAnsi="Times New Roman"/>
        <w:sz w:val="24"/>
        <w:lang w:val="ru-RU" w:bidi="ar-SA" w:eastAsia="ru-RU"/>
      </w:rPr>
    </w:rPrDefault>
    <w:pPrDefault/>
  </w:docDefaults>
  <w:style w:type="paragraph" w:styleId="Heading3">
    <w:name w:val="Heading 3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2Char">
    <w:name w:val="Heading 2 Char"/>
    <w:link w:val="Heading#2_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#3_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 w:val="on"/>
    <w:rPr>
      <w:sz w:val="20"/>
      <w:szCs w:val="20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FollowedHyperlink">
    <w:name w:val="FollowedHyperlink"/>
    <w:uiPriority w:val="99"/>
    <w:semiHidden w:val="on"/>
    <w:unhideWhenUsed w:val="on"/>
    <w:rPr>
      <w:color w:val="800080" w:themeColor="followed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default="1" w:styleId="Normal">
    <w:name w:val="Normal"/>
    <w:uiPriority w:val="99"/>
    <w:qFormat w:val="on"/>
    <w:pPr>
      <w:spacing w:after="200" w:line="276" w:lineRule="auto"/>
    </w:pPr>
  </w:style>
  <w:style w:type="paragraph" w:styleId="Heading1">
    <w:name w:val="Heading 1"/>
    <w:next w:val="Normal"/>
    <w:link w:val="Заголовок1Знак"/>
    <w:uiPriority w:val="9"/>
    <w:qFormat w:val="on"/>
    <w:pPr>
      <w:keepNext w:val="on"/>
      <w:keepLines w:val="on"/>
      <w:numPr>
        <w:ilvl w:val="0"/>
        <w:numId w:val="1"/>
      </w:numPr>
      <w:tabs>
        <w:tab w:val="left" w:pos="284"/>
      </w:tabs>
      <w:spacing w:before="120" w:after="120"/>
      <w:ind w:left="0" w:firstLine="0"/>
      <w:jc w:val="center"/>
    </w:pPr>
    <w:rPr>
      <w:rFonts w:eastAsia="MS Mincho"/>
      <w:b/>
      <w:bCs/>
      <w:szCs w:val="24"/>
      <w:lang w:eastAsia="ja-JP"/>
    </w:rPr>
  </w:style>
  <w:style w:type="paragraph" w:styleId="Heading2">
    <w:name w:val="Heading 2"/>
    <w:basedOn w:val="Heading1"/>
    <w:next w:val="Normal"/>
    <w:link w:val="Заголовок2Знак"/>
    <w:uiPriority w:val="9"/>
    <w:qFormat w:val="on"/>
    <w:pPr>
      <w:ind w:left="0" w:firstLine="0"/>
    </w:p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character" w:styleId="Footnotereference">
    <w:name w:val="Footnote reference"/>
    <w:uiPriority w:val="99"/>
    <w:qFormat w:val="on"/>
    <w:rPr>
      <w:rFonts w:cs="Times New Roman"/>
      <w:vertAlign w:val="superscript"/>
    </w:rPr>
  </w:style>
  <w:style w:type="character" w:styleId="Annotationreference">
    <w:name w:val="Annotation reference"/>
    <w:basedOn w:val="DefaultParagraphFont"/>
    <w:uiPriority w:val="99"/>
    <w:semiHidden w:val="on"/>
    <w:unhideWhenUsed w:val="on"/>
    <w:qFormat w:val="on"/>
    <w:rPr>
      <w:sz w:val="16"/>
      <w:szCs w:val="16"/>
    </w:rPr>
  </w:style>
  <w:style w:type="character" w:styleId="Hyperlink">
    <w:name w:val="Hyperlink"/>
    <w:uiPriority w:val="99"/>
    <w:qFormat w:val="on"/>
    <w:rPr>
      <w:rFonts w:cs="Times New Roman"/>
      <w:color w:val="0066cc"/>
      <w:u w:val="single"/>
    </w:r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qFormat w:val="on"/>
    <w:pPr>
      <w:spacing w:after="0" w:line="240" w:lineRule="auto"/>
    </w:pPr>
    <w:rPr>
      <w:rFonts w:ascii="Tahoma" w:cs="Tahoma" w:hAnsi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 w:val="on"/>
    <w:qFormat w:val="on"/>
    <w:pPr>
      <w:keepNext w:val="on"/>
      <w:keepLines w:val="on"/>
      <w:widowControl w:val="off"/>
      <w:spacing w:after="0" w:line="240" w:lineRule="auto"/>
      <w:jc w:val="center"/>
    </w:pPr>
    <w:rPr>
      <w:rFonts w:eastAsia="Times New Roman"/>
      <w:iCs/>
      <w:szCs w:val="18"/>
    </w:rPr>
  </w:style>
  <w:style w:type="paragraph" w:styleId="Annotationtext">
    <w:name w:val="Annotation text"/>
    <w:basedOn w:val="Normal"/>
    <w:link w:val="ТекстпримечанияЗнак"/>
    <w:uiPriority w:val="99"/>
    <w:semiHidden w:val="on"/>
    <w:unhideWhenUsed w:val="on"/>
    <w:qFormat w:val="on"/>
    <w:pPr>
      <w:spacing w:line="240" w:lineRule="auto"/>
    </w:pPr>
    <w:rPr>
      <w:sz w:val="20"/>
    </w:rPr>
  </w:style>
  <w:style w:type="paragraph" w:styleId="Annotationsubject">
    <w:name w:val="Annotation subject"/>
    <w:basedOn w:val="Annotationtext"/>
    <w:next w:val="Annotationtext"/>
    <w:link w:val="ТемапримечанияЗнак"/>
    <w:uiPriority w:val="99"/>
    <w:semiHidden w:val="on"/>
    <w:unhideWhenUsed w:val="on"/>
    <w:qFormat w:val="on"/>
    <w:rPr>
      <w:b/>
      <w:bCs/>
    </w:rPr>
  </w:style>
  <w:style w:type="paragraph" w:styleId="Footnotetext">
    <w:name w:val="Footnote text"/>
    <w:basedOn w:val="Normal"/>
    <w:link w:val="ТекстсноскиЗнак"/>
    <w:uiPriority w:val="99"/>
    <w:unhideWhenUsed w:val="on"/>
    <w:qFormat w:val="on"/>
    <w:pPr>
      <w:spacing w:after="0" w:line="240" w:lineRule="auto"/>
    </w:pPr>
    <w:rPr>
      <w:sz w:val="20"/>
    </w:rPr>
  </w:style>
  <w:style w:type="paragraph" w:styleId="Header">
    <w:name w:val="Header"/>
    <w:basedOn w:val="Normal"/>
    <w:link w:val="ВерхнийколонтитулЗнак"/>
    <w:uiPriority w:val="99"/>
    <w:qFormat w:val="on"/>
    <w:pPr>
      <w:widowControl w:val="off"/>
      <w:tabs>
        <w:tab w:val="center" w:pos="4677"/>
        <w:tab w:val="right" w:pos="9355"/>
      </w:tabs>
      <w:spacing w:after="0" w:line="240" w:lineRule="auto"/>
    </w:pPr>
    <w:rPr>
      <w:rFonts w:eastAsia="Times New Roman"/>
      <w:szCs w:val="24"/>
    </w:rPr>
  </w:style>
  <w:style w:type="paragraph" w:styleId="BodyText">
    <w:name w:val="Body Text"/>
    <w:basedOn w:val="Normal"/>
    <w:link w:val="ОсновнойтекстЗнак"/>
    <w:uiPriority w:val="99"/>
    <w:qFormat w:val="on"/>
    <w:pPr>
      <w:spacing w:after="120" w:line="240" w:lineRule="auto"/>
    </w:pPr>
    <w:rPr>
      <w:rFonts w:eastAsia="MS Mincho"/>
      <w:szCs w:val="24"/>
      <w:lang w:eastAsia="ja-JP"/>
    </w:rPr>
  </w:style>
  <w:style w:type="paragraph" w:styleId="Footer">
    <w:name w:val="Footer"/>
    <w:basedOn w:val="Normal"/>
    <w:link w:val="НижнийколонтитулЗнак"/>
    <w:uiPriority w:val="99"/>
    <w:unhideWhenUsed w:val="on"/>
    <w:qFormat w:val="on"/>
    <w:pPr>
      <w:tabs>
        <w:tab w:val="center" w:pos="4677"/>
        <w:tab w:val="right" w:pos="9355"/>
      </w:tabs>
      <w:spacing w:after="0" w:line="240" w:lineRule="auto"/>
    </w:pPr>
  </w:style>
  <w:style w:type="paragraph" w:styleId="Normal(Web)">
    <w:name w:val="Normal (Web)"/>
    <w:basedOn w:val="Normal"/>
    <w:uiPriority w:val="99"/>
    <w:qFormat w:val="on"/>
    <w:pPr>
      <w:spacing w:after="0" w:line="240" w:lineRule="auto"/>
    </w:pPr>
    <w:rPr>
      <w:rFonts w:eastAsia="Times New Roman"/>
      <w:szCs w:val="24"/>
    </w:rPr>
  </w:style>
  <w:style w:type="table" w:styleId="TableGrid">
    <w:name w:val="Table Grid"/>
    <w:basedOn w:val="NormalTable"/>
    <w:uiPriority w:val="59"/>
    <w:qFormat w:val="on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ТекстсноскиЗнак">
    <w:name w:val="Текст сноски Знак"/>
    <w:basedOn w:val="DefaultParagraphFont"/>
    <w:link w:val="Footnotetext"/>
    <w:uiPriority w:val="99"/>
    <w:qFormat w:val="on"/>
    <w:rPr>
      <w:sz w:val="20"/>
      <w:szCs w:val="20"/>
    </w:rPr>
  </w:style>
  <w:style w:type="character" w:customStyle="1" w:styleId="ВерхнийколонтитулЗнак">
    <w:name w:val="Верхний колонтитул Знак"/>
    <w:link w:val="Header"/>
    <w:uiPriority w:val="99"/>
    <w:qFormat w:val="on"/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customStyle="1" w:styleId="ВерхнийколонтитулЗнак1">
    <w:name w:val="Верхний колонтитул Знак1"/>
    <w:basedOn w:val="DefaultParagraphFont"/>
    <w:uiPriority w:val="99"/>
    <w:semiHidden w:val="on"/>
    <w:qFormat w:val="on"/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  <w:qFormat w:val="on"/>
  </w:style>
  <w:style w:type="character" w:customStyle="1" w:styleId="Заголовок1Знак">
    <w:name w:val="Заголовок 1 Знак"/>
    <w:basedOn w:val="DefaultParagraphFont"/>
    <w:link w:val="Heading1"/>
    <w:uiPriority w:val="9"/>
    <w:qFormat w:val="on"/>
    <w:rPr>
      <w:rFonts w:ascii="Times New Roman" w:cs="Times New Roman" w:eastAsia="MS Mincho" w:hAnsi="Times New Roman"/>
      <w:b/>
      <w:bCs/>
      <w:sz w:val="24"/>
      <w:szCs w:val="24"/>
      <w:lang w:eastAsia="ja-JP"/>
    </w:rPr>
  </w:style>
  <w:style w:type="character" w:customStyle="1" w:styleId="Heading1Char">
    <w:name w:val="Heading 1 Char"/>
    <w:uiPriority w:val="99"/>
    <w:qFormat w:val="on"/>
    <w:rPr>
      <w:rFonts w:ascii="Cambria" w:cs="Times New Roman" w:hAnsi="Cambria"/>
      <w:b/>
      <w:bCs/>
      <w:color w:val="000000"/>
      <w:sz w:val="32"/>
      <w:szCs w:val="32"/>
    </w:rPr>
  </w:style>
  <w:style w:type="character" w:customStyle="1" w:styleId="Основнойтекст(2)_">
    <w:name w:val="Основной текст (2)_"/>
    <w:link w:val="Основнойтекст(2)1"/>
    <w:uiPriority w:val="99"/>
    <w:qFormat w:val="on"/>
    <w:rPr>
      <w:rFonts w:ascii="Garamond" w:cs="Garamond" w:hAnsi="Garamond"/>
      <w:b/>
      <w:bCs/>
      <w:sz w:val="144"/>
      <w:szCs w:val="144"/>
      <w:shd w:val="clear" w:color="auto" w:fill="ffffff"/>
    </w:rPr>
  </w:style>
  <w:style w:type="paragraph" w:customStyle="1" w:styleId="Основнойтекст(2)1">
    <w:name w:val="Основной текст (2)1"/>
    <w:basedOn w:val="Normal"/>
    <w:link w:val="Основнойтекст(2)_"/>
    <w:uiPriority w:val="99"/>
    <w:qFormat w:val="on"/>
    <w:pPr>
      <w:widowControl w:val="off"/>
      <w:shd w:val="clear" w:color="auto" w:fill="ffffff"/>
      <w:spacing w:after="0" w:line="365" w:lineRule="exact"/>
      <w:jc w:val="center"/>
    </w:pPr>
    <w:rPr>
      <w:rFonts w:ascii="Garamond" w:cs="Garamond" w:hAnsi="Garamond"/>
      <w:b/>
      <w:bCs/>
      <w:sz w:val="144"/>
      <w:szCs w:val="144"/>
    </w:rPr>
  </w:style>
  <w:style w:type="character" w:customStyle="1" w:styleId="Основнойтекст(2)">
    <w:name w:val="Основной текст (2)"/>
    <w:uiPriority w:val="99"/>
    <w:qFormat w:val="on"/>
    <w:rPr>
      <w:rFonts w:ascii="Garamond" w:cs="Garamond" w:hAnsi="Garamond"/>
      <w:b/>
      <w:bCs/>
      <w:color w:val="000000"/>
      <w:spacing w:val="0"/>
      <w:w w:val="100"/>
      <w:position w:val="0"/>
      <w:sz w:val="144"/>
      <w:szCs w:val="144"/>
      <w:u w:val="none"/>
      <w:lang w:val="ru-RU" w:eastAsia="ru-RU"/>
    </w:rPr>
  </w:style>
  <w:style w:type="character" w:customStyle="1" w:styleId="Основнойтекст_">
    <w:name w:val="Основной текст_"/>
    <w:link w:val="Основнойтекст4"/>
    <w:uiPriority w:val="99"/>
    <w:qFormat w:val="on"/>
    <w:rPr>
      <w:rFonts w:ascii="Times New Roman" w:cs="Times New Roman" w:hAnsi="Times New Roman"/>
      <w:b/>
      <w:bCs/>
      <w:sz w:val="26"/>
      <w:szCs w:val="26"/>
      <w:shd w:val="clear" w:color="auto" w:fill="ffffff"/>
    </w:rPr>
  </w:style>
  <w:style w:type="paragraph" w:customStyle="1" w:styleId="Основнойтекст4">
    <w:name w:val="Основной текст4"/>
    <w:basedOn w:val="Normal"/>
    <w:link w:val="Основнойтекст_"/>
    <w:uiPriority w:val="99"/>
    <w:qFormat w:val="on"/>
    <w:pPr>
      <w:widowControl w:val="off"/>
      <w:shd w:val="clear" w:color="auto" w:fill="ffffff"/>
      <w:spacing w:after="0" w:line="365" w:lineRule="exact"/>
      <w:ind w:hanging="360"/>
      <w:jc w:val="center"/>
    </w:pPr>
    <w:rPr>
      <w:b/>
      <w:bCs/>
      <w:sz w:val="26"/>
      <w:szCs w:val="26"/>
    </w:rPr>
  </w:style>
  <w:style w:type="character" w:customStyle="1" w:styleId="Основнойтекст(3)_">
    <w:name w:val="Основной текст (3)_"/>
    <w:link w:val="Основнойтекст(3)1"/>
    <w:uiPriority w:val="99"/>
    <w:qFormat w:val="on"/>
    <w:rPr>
      <w:rFonts w:ascii="Times New Roman" w:cs="Times New Roman" w:hAnsi="Times New Roman"/>
      <w:shd w:val="clear" w:color="auto" w:fill="ffffff"/>
    </w:rPr>
  </w:style>
  <w:style w:type="paragraph" w:customStyle="1" w:styleId="Основнойтекст(3)1">
    <w:name w:val="Основной текст (3)1"/>
    <w:basedOn w:val="Normal"/>
    <w:link w:val="Основнойтекст(3)_"/>
    <w:uiPriority w:val="99"/>
    <w:qFormat w:val="on"/>
    <w:pPr>
      <w:widowControl w:val="off"/>
      <w:shd w:val="clear" w:color="auto" w:fill="ffffff"/>
      <w:spacing w:before="120" w:after="3060" w:line="240" w:lineRule="atLeast"/>
      <w:jc w:val="center"/>
    </w:pPr>
  </w:style>
  <w:style w:type="character" w:customStyle="1" w:styleId="Заголовок№1_">
    <w:name w:val="Заголовок №1_"/>
    <w:link w:val="Заголовок№11"/>
    <w:uiPriority w:val="99"/>
    <w:qFormat w:val="on"/>
    <w:rPr>
      <w:rFonts w:ascii="Times New Roman" w:cs="Times New Roman" w:hAnsi="Times New Roman"/>
      <w:b/>
      <w:bCs/>
      <w:sz w:val="26"/>
      <w:szCs w:val="26"/>
      <w:shd w:val="clear" w:color="auto" w:fill="ffffff"/>
    </w:rPr>
  </w:style>
  <w:style w:type="paragraph" w:customStyle="1" w:styleId="Заголовок№11">
    <w:name w:val="Заголовок №11"/>
    <w:basedOn w:val="Normal"/>
    <w:link w:val="Заголовок№1_"/>
    <w:uiPriority w:val="99"/>
    <w:qFormat w:val="on"/>
    <w:pPr>
      <w:widowControl w:val="off"/>
      <w:shd w:val="clear" w:color="auto" w:fill="ffffff"/>
      <w:spacing w:after="60" w:line="370" w:lineRule="exact"/>
      <w:jc w:val="center"/>
    </w:pPr>
    <w:rPr>
      <w:b/>
      <w:bCs/>
      <w:sz w:val="26"/>
      <w:szCs w:val="26"/>
    </w:rPr>
  </w:style>
  <w:style w:type="character" w:customStyle="1" w:styleId="Колонтитул_">
    <w:name w:val="Колонтитул_"/>
    <w:link w:val="Колонтитул1"/>
    <w:uiPriority w:val="99"/>
    <w:qFormat w:val="on"/>
    <w:rPr>
      <w:rFonts w:ascii="Times New Roman" w:cs="Times New Roman" w:hAnsi="Times New Roman"/>
      <w:b/>
      <w:bCs/>
      <w:sz w:val="26"/>
      <w:szCs w:val="26"/>
      <w:shd w:val="clear" w:color="auto" w:fill="ffffff"/>
    </w:rPr>
  </w:style>
  <w:style w:type="paragraph" w:customStyle="1" w:styleId="Колонтитул1">
    <w:name w:val="Колонтитул1"/>
    <w:basedOn w:val="Normal"/>
    <w:link w:val="Колонтитул_"/>
    <w:uiPriority w:val="99"/>
    <w:qFormat w:val="on"/>
    <w:pPr>
      <w:widowControl w:val="off"/>
      <w:shd w:val="clear" w:color="auto" w:fill="ffffff"/>
      <w:spacing w:after="120" w:line="240" w:lineRule="atLeast"/>
      <w:jc w:val="center"/>
    </w:pPr>
    <w:rPr>
      <w:b/>
      <w:bCs/>
      <w:sz w:val="26"/>
      <w:szCs w:val="26"/>
    </w:rPr>
  </w:style>
  <w:style w:type="character" w:customStyle="1" w:styleId="Колонтитул+11pt">
    <w:name w:val="Колонтитул + 11 pt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Основнойтекст+11pt">
    <w:name w:val="Основной текст + 11 pt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Заголовок№1">
    <w:name w:val="Заголовок №1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Колонтитул">
    <w:name w:val="Колонтитул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Колонтитул3">
    <w:name w:val="Колонтитул3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Основнойтекст(3)Exact">
    <w:name w:val="Основной текст (3) Exact"/>
    <w:uiPriority w:val="99"/>
    <w:qFormat w:val="on"/>
    <w:rPr>
      <w:rFonts w:ascii="Times New Roman" w:cs="Times New Roman" w:hAnsi="Times New Roman"/>
      <w:spacing w:val="2"/>
      <w:sz w:val="20"/>
      <w:szCs w:val="20"/>
      <w:u w:val="none"/>
    </w:rPr>
  </w:style>
  <w:style w:type="character" w:customStyle="1" w:styleId="Основнойтекст(3)">
    <w:name w:val="Основной текст (3)"/>
    <w:uiPriority w:val="99"/>
    <w:qFormat w:val="on"/>
    <w:rPr>
      <w:rFonts w:ascii="Times New Roman" w:cs="Times New Roman" w:hAnsi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Основнойтекст(3)Exact1">
    <w:name w:val="Основной текст (3) Exact1"/>
    <w:uiPriority w:val="99"/>
    <w:qFormat w:val="on"/>
    <w:rPr>
      <w:rFonts w:ascii="Times New Roman" w:cs="Times New Roman" w:hAnsi="Times New Roman"/>
      <w:color w:val="000000"/>
      <w:spacing w:val="2"/>
      <w:w w:val="100"/>
      <w:position w:val="0"/>
      <w:sz w:val="20"/>
      <w:szCs w:val="20"/>
      <w:u w:val="single"/>
      <w:lang w:val="ru-RU" w:eastAsia="ru-RU"/>
    </w:rPr>
  </w:style>
  <w:style w:type="character" w:customStyle="1" w:styleId="Основнойтекст(4)_">
    <w:name w:val="Основной текст (4)_"/>
    <w:link w:val="Основнойтекст(4)1"/>
    <w:uiPriority w:val="99"/>
    <w:rPr>
      <w:rFonts w:ascii="Times New Roman" w:cs="Times New Roman" w:hAnsi="Times New Roman"/>
      <w:b/>
      <w:bCs/>
      <w:i/>
      <w:iCs/>
      <w:sz w:val="26"/>
      <w:szCs w:val="26"/>
      <w:shd w:val="clear" w:color="auto" w:fill="ffffff"/>
    </w:rPr>
  </w:style>
  <w:style w:type="paragraph" w:customStyle="1" w:styleId="Основнойтекст(4)1">
    <w:name w:val="Основной текст (4)1"/>
    <w:basedOn w:val="Normal"/>
    <w:link w:val="Основнойтекст(4)_"/>
    <w:uiPriority w:val="99"/>
    <w:qFormat w:val="on"/>
    <w:pPr>
      <w:widowControl w:val="off"/>
      <w:shd w:val="clear" w:color="auto" w:fill="ffffff"/>
      <w:spacing w:before="720" w:after="0" w:line="475" w:lineRule="exact"/>
      <w:jc w:val="both"/>
    </w:pPr>
    <w:rPr>
      <w:b/>
      <w:bCs/>
      <w:i/>
      <w:iCs/>
      <w:sz w:val="26"/>
      <w:szCs w:val="26"/>
    </w:rPr>
  </w:style>
  <w:style w:type="character" w:customStyle="1" w:styleId="Основнойтекст+Курсив">
    <w:name w:val="Основной текст + Курсив"/>
    <w:uiPriority w:val="99"/>
    <w:rPr>
      <w:rFonts w:ascii="Times New Roman" w:cs="Times New Roman" w:hAnsi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Основнойтекст1">
    <w:name w:val="Основной текст1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Подписьктаблице_">
    <w:name w:val="Подпись к таблице_"/>
    <w:link w:val="Подписьктаблице1"/>
    <w:uiPriority w:val="99"/>
    <w:qFormat w:val="on"/>
    <w:rPr>
      <w:rFonts w:ascii="Times New Roman" w:cs="Times New Roman" w:hAnsi="Times New Roman"/>
      <w:b/>
      <w:bCs/>
      <w:sz w:val="26"/>
      <w:szCs w:val="26"/>
      <w:shd w:val="clear" w:color="auto" w:fill="ffffff"/>
    </w:rPr>
  </w:style>
  <w:style w:type="paragraph" w:customStyle="1" w:styleId="Подписьктаблице1">
    <w:name w:val="Подпись к таблице1"/>
    <w:basedOn w:val="Normal"/>
    <w:link w:val="Подписьктаблице_"/>
    <w:uiPriority w:val="99"/>
    <w:qFormat w:val="on"/>
    <w:pPr>
      <w:widowControl w:val="off"/>
      <w:shd w:val="clear" w:color="auto" w:fill="ffffff"/>
      <w:spacing w:after="0" w:line="240" w:lineRule="atLeast"/>
    </w:pPr>
    <w:rPr>
      <w:b/>
      <w:bCs/>
      <w:sz w:val="26"/>
      <w:szCs w:val="26"/>
    </w:rPr>
  </w:style>
  <w:style w:type="character" w:customStyle="1" w:styleId="Заголовок№1+Курсив">
    <w:name w:val="Заголовок №1 + Курсив"/>
    <w:uiPriority w:val="99"/>
    <w:qFormat w:val="on"/>
    <w:rPr>
      <w:rFonts w:ascii="Times New Roman" w:cs="Times New Roman" w:hAnsi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Подписьктаблице(2)_">
    <w:name w:val="Подпись к таблице (2)_"/>
    <w:link w:val="Подписьктаблице(2)"/>
    <w:uiPriority w:val="99"/>
    <w:qFormat w:val="on"/>
    <w:rPr>
      <w:rFonts w:ascii="Times New Roman" w:cs="Times New Roman" w:hAnsi="Times New Roman"/>
      <w:b/>
      <w:bCs/>
      <w:sz w:val="19"/>
      <w:szCs w:val="19"/>
      <w:shd w:val="clear" w:color="auto" w:fill="ffffff"/>
    </w:rPr>
  </w:style>
  <w:style w:type="paragraph" w:customStyle="1" w:styleId="Подписьктаблице(2)">
    <w:name w:val="Подпись к таблице (2)"/>
    <w:basedOn w:val="Normal"/>
    <w:link w:val="Подписьктаблице(2)_"/>
    <w:uiPriority w:val="99"/>
    <w:qFormat w:val="on"/>
    <w:pPr>
      <w:widowControl w:val="off"/>
      <w:shd w:val="clear" w:color="auto" w:fill="ffffff"/>
      <w:spacing w:after="0" w:line="240" w:lineRule="atLeast"/>
    </w:pPr>
    <w:rPr>
      <w:b/>
      <w:bCs/>
      <w:sz w:val="19"/>
      <w:szCs w:val="19"/>
    </w:rPr>
  </w:style>
  <w:style w:type="character" w:customStyle="1" w:styleId="Подписьктаблице(2)+Неполужирный">
    <w:name w:val="Подпись к таблице (2) + Не полужирный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Заголовок№1(2)_">
    <w:name w:val="Заголовок №1 (2)_"/>
    <w:link w:val="Заголовок№1(2)1"/>
    <w:uiPriority w:val="99"/>
    <w:qFormat w:val="on"/>
    <w:rPr>
      <w:rFonts w:ascii="Times New Roman" w:cs="Times New Roman" w:hAnsi="Times New Roman"/>
      <w:b/>
      <w:bCs/>
      <w:i/>
      <w:iCs/>
      <w:sz w:val="26"/>
      <w:szCs w:val="26"/>
      <w:shd w:val="clear" w:color="auto" w:fill="ffffff"/>
    </w:rPr>
  </w:style>
  <w:style w:type="paragraph" w:customStyle="1" w:styleId="Заголовок№1(2)1">
    <w:name w:val="Заголовок №1 (2)1"/>
    <w:basedOn w:val="Normal"/>
    <w:link w:val="Заголовок№1(2)_"/>
    <w:uiPriority w:val="99"/>
    <w:qFormat w:val="on"/>
    <w:pPr>
      <w:widowControl w:val="off"/>
      <w:shd w:val="clear" w:color="auto" w:fill="ffffff"/>
      <w:spacing w:before="720" w:after="0" w:line="475" w:lineRule="exact"/>
    </w:pPr>
    <w:rPr>
      <w:b/>
      <w:bCs/>
      <w:i/>
      <w:iCs/>
      <w:sz w:val="26"/>
      <w:szCs w:val="26"/>
    </w:rPr>
  </w:style>
  <w:style w:type="character" w:customStyle="1" w:styleId="Основнойтекст+8">
    <w:name w:val="Основной текст + 8"/>
    <w:uiPriority w:val="99"/>
    <w:rPr>
      <w:rFonts w:ascii="Times New Roman" w:cs="Times New Roman" w:hAnsi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Основнойтекст+81">
    <w:name w:val="Основной текст + 81"/>
    <w:uiPriority w:val="99"/>
    <w:rPr>
      <w:rFonts w:ascii="Times New Roman" w:cs="Times New Roman" w:hAnsi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Основнойтекст+11pt1">
    <w:name w:val="Основной текст + 11 pt1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Основнойтекст(4)">
    <w:name w:val="Основной текст (4)"/>
    <w:uiPriority w:val="99"/>
    <w:rPr>
      <w:rFonts w:ascii="Times New Roman" w:cs="Times New Roman" w:hAnsi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Заголовок№1(2)">
    <w:name w:val="Заголовок №1 (2)"/>
    <w:uiPriority w:val="99"/>
    <w:qFormat w:val="on"/>
    <w:rPr>
      <w:rFonts w:ascii="Times New Roman" w:cs="Times New Roman" w:hAnsi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Основнойтекст2">
    <w:name w:val="Основной текст2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Основнойтекст(4)+Некурсив">
    <w:name w:val="Основной текст (4) + Не курсив"/>
    <w:uiPriority w:val="99"/>
    <w:qFormat w:val="on"/>
    <w:rPr>
      <w:rFonts w:ascii="Times New Roman" w:cs="Times New Roman" w:hAnsi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Подписьктаблице">
    <w:name w:val="Подпись к таблице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Колонтитул+11pt1">
    <w:name w:val="Колонтитул + 11 pt1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Заголовок№12">
    <w:name w:val="Заголовок №12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Основнойтекст+Курсив1">
    <w:name w:val="Основной текст + Курсив1"/>
    <w:uiPriority w:val="99"/>
    <w:qFormat w:val="on"/>
    <w:rPr>
      <w:rFonts w:ascii="Times New Roman" w:cs="Times New Roman" w:hAnsi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Основнойтекст3">
    <w:name w:val="Основной текст3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Колонтитул2">
    <w:name w:val="Колонтитул2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customStyle="1" w:styleId="ОбычныйТекст">
    <w:name w:val="ОбычныйТекст"/>
    <w:basedOn w:val="Normal"/>
    <w:uiPriority w:val="99"/>
    <w:qFormat w:val="on"/>
    <w:pPr>
      <w:spacing w:after="0" w:line="360" w:lineRule="auto"/>
      <w:ind w:firstLine="720"/>
      <w:jc w:val="both"/>
    </w:pPr>
    <w:rPr>
      <w:rFonts w:eastAsia="Courier New"/>
      <w:sz w:val="28"/>
    </w:rPr>
  </w:style>
  <w:style w:type="character" w:customStyle="1" w:styleId="Основнойтекст(8)">
    <w:name w:val="Основной текст (8)"/>
    <w:uiPriority w:val="99"/>
    <w:qFormat w:val="on"/>
    <w:rPr>
      <w:b/>
      <w:color w:val="000000"/>
      <w:spacing w:val="0"/>
      <w:w w:val="100"/>
      <w:position w:val="0"/>
      <w:sz w:val="28"/>
      <w:lang w:val="ru-RU" w:eastAsia="ru-RU"/>
    </w:rPr>
  </w:style>
  <w:style w:type="character" w:customStyle="1" w:styleId="Основнойтекст(8)+10">
    <w:name w:val="Основной текст (8) + 10"/>
    <w:uiPriority w:val="99"/>
    <w:qFormat w:val="on"/>
    <w:rPr>
      <w:b/>
      <w:color w:val="000000"/>
      <w:spacing w:val="0"/>
      <w:w w:val="100"/>
      <w:position w:val="0"/>
      <w:sz w:val="21"/>
      <w:lang w:val="ru-RU" w:eastAsia="ru-RU"/>
    </w:rPr>
  </w:style>
  <w:style w:type="character" w:customStyle="1" w:styleId="Bodytext_">
    <w:name w:val="Body text_"/>
    <w:uiPriority w:val="99"/>
    <w:qFormat w:val="on"/>
    <w:rPr>
      <w:rFonts w:ascii="Times New Roman" w:cs="Times New Roman" w:hAnsi="Times New Roman"/>
      <w:sz w:val="26"/>
      <w:szCs w:val="26"/>
      <w:u w:val="none"/>
    </w:rPr>
  </w:style>
  <w:style w:type="character" w:customStyle="1" w:styleId="Bodytext+11pt">
    <w:name w:val="Body text + 11 pt"/>
    <w:uiPriority w:val="99"/>
    <w:qFormat w:val="on"/>
    <w:rPr>
      <w:rFonts w:ascii="Times New Roman" w:cs="Times New Roman" w:hAnsi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Bodytext(7)_">
    <w:name w:val="Body text (7)_"/>
    <w:link w:val="Bodytext(7)"/>
    <w:uiPriority w:val="99"/>
    <w:rPr>
      <w:rFonts w:ascii="Arial" w:cs="Arial" w:hAnsi="Arial"/>
      <w:sz w:val="15"/>
      <w:szCs w:val="15"/>
      <w:shd w:val="clear" w:color="auto" w:fill="ffffff"/>
    </w:rPr>
  </w:style>
  <w:style w:type="paragraph" w:customStyle="1" w:styleId="Bodytext(7)">
    <w:name w:val="Body text (7)"/>
    <w:basedOn w:val="Normal"/>
    <w:link w:val="Bodytext(7)_"/>
    <w:uiPriority w:val="99"/>
    <w:pPr>
      <w:widowControl w:val="off"/>
      <w:shd w:val="clear" w:color="auto" w:fill="ffffff"/>
      <w:spacing w:after="0" w:line="226" w:lineRule="exact"/>
      <w:jc w:val="both"/>
    </w:pPr>
    <w:rPr>
      <w:rFonts w:ascii="Arial" w:cs="Arial" w:hAnsi="Arial"/>
      <w:sz w:val="15"/>
      <w:szCs w:val="15"/>
    </w:rPr>
  </w:style>
  <w:style w:type="character" w:customStyle="1" w:styleId="Bodytext(5)_">
    <w:name w:val="Body text (5)_"/>
    <w:link w:val="Bodytext(5)"/>
    <w:uiPriority w:val="99"/>
    <w:qFormat w:val="on"/>
    <w:rPr>
      <w:rFonts w:ascii="Times New Roman" w:cs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(5)">
    <w:name w:val="Body text (5)"/>
    <w:basedOn w:val="Normal"/>
    <w:link w:val="Bodytext(5)_"/>
    <w:uiPriority w:val="99"/>
    <w:pPr>
      <w:widowControl w:val="off"/>
      <w:shd w:val="clear" w:color="auto" w:fill="ffffff"/>
      <w:spacing w:before="300" w:after="1080" w:line="317" w:lineRule="exact"/>
      <w:jc w:val="center"/>
    </w:pPr>
    <w:rPr>
      <w:b/>
      <w:bCs/>
      <w:sz w:val="26"/>
      <w:szCs w:val="26"/>
    </w:rPr>
  </w:style>
  <w:style w:type="character" w:customStyle="1" w:styleId="Heading#2_">
    <w:name w:val="Heading #2_"/>
    <w:link w:val="Heading#2"/>
    <w:uiPriority w:val="99"/>
    <w:qFormat w:val="on"/>
    <w:rPr>
      <w:rFonts w:ascii="Times New Roman" w:cs="Times New Roman" w:hAnsi="Times New Roman"/>
      <w:b/>
      <w:bCs/>
      <w:sz w:val="34"/>
      <w:szCs w:val="34"/>
      <w:shd w:val="clear" w:color="auto" w:fill="ffffff"/>
    </w:rPr>
  </w:style>
  <w:style w:type="paragraph" w:customStyle="1" w:styleId="Heading#2">
    <w:name w:val="Heading #2"/>
    <w:basedOn w:val="Normal"/>
    <w:link w:val="Heading#2_"/>
    <w:uiPriority w:val="99"/>
    <w:pPr>
      <w:widowControl w:val="off"/>
      <w:shd w:val="clear" w:color="auto" w:fill="ffffff"/>
      <w:spacing w:before="180" w:after="300" w:line="240" w:lineRule="atLeast"/>
      <w:jc w:val="center"/>
    </w:pPr>
    <w:rPr>
      <w:b/>
      <w:bCs/>
      <w:sz w:val="34"/>
      <w:szCs w:val="34"/>
    </w:rPr>
  </w:style>
  <w:style w:type="character" w:customStyle="1" w:styleId="Bodytext(5)+NotBold">
    <w:name w:val="Body text (5) + Not Bold"/>
    <w:uiPriority w:val="99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Bodytext(6)_">
    <w:name w:val="Body text (6)_"/>
    <w:uiPriority w:val="99"/>
    <w:rPr>
      <w:rFonts w:ascii="Times New Roman" w:cs="Times New Roman" w:hAnsi="Times New Roman"/>
      <w:u w:val="none"/>
    </w:rPr>
  </w:style>
  <w:style w:type="character" w:customStyle="1" w:styleId="Bodytext(6)">
    <w:name w:val="Body text (6)"/>
    <w:uiPriority w:val="99"/>
    <w:rPr>
      <w:rFonts w:ascii="Times New Roman" w:cs="Times New Roman" w:hAnsi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Bodytext(10)_">
    <w:name w:val="Body text (10)_"/>
    <w:uiPriority w:val="99"/>
    <w:rPr>
      <w:rFonts w:ascii="Times New Roman" w:cs="Times New Roman" w:hAnsi="Times New Roman"/>
      <w:b/>
      <w:bCs/>
      <w:spacing w:val="10"/>
      <w:sz w:val="23"/>
      <w:szCs w:val="23"/>
      <w:u w:val="none"/>
    </w:rPr>
  </w:style>
  <w:style w:type="character" w:customStyle="1" w:styleId="Bodytext(10)">
    <w:name w:val="Body text (10)"/>
    <w:uiPriority w:val="99"/>
    <w:rPr>
      <w:rFonts w:ascii="Times New Roman" w:cs="Times New Roman" w:hAnsi="Times New Roman"/>
      <w:b/>
      <w:bCs/>
      <w:color w:val="000000"/>
      <w:spacing w:val="1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(2)_">
    <w:name w:val="Body text (2)_"/>
    <w:link w:val="Bodytext(2)"/>
    <w:uiPriority w:val="99"/>
    <w:rPr>
      <w:rFonts w:ascii="Times New Roman" w:cs="Times New Roman" w:hAnsi="Times New Roman"/>
      <w:shd w:val="clear" w:color="auto" w:fill="ffffff"/>
    </w:rPr>
  </w:style>
  <w:style w:type="paragraph" w:customStyle="1" w:styleId="Bodytext(2)">
    <w:name w:val="Body text (2)"/>
    <w:basedOn w:val="Normal"/>
    <w:link w:val="Bodytext(2)_"/>
    <w:uiPriority w:val="99"/>
    <w:qFormat w:val="on"/>
    <w:pPr>
      <w:widowControl w:val="off"/>
      <w:shd w:val="clear" w:color="auto" w:fill="ffffff"/>
      <w:spacing w:after="0" w:line="288" w:lineRule="exact"/>
      <w:ind w:hanging="780"/>
      <w:jc w:val="center"/>
    </w:pPr>
  </w:style>
  <w:style w:type="character" w:customStyle="1" w:styleId="Heading#3_">
    <w:name w:val="Heading #3_"/>
    <w:link w:val="Heading#3"/>
    <w:uiPriority w:val="99"/>
    <w:rPr>
      <w:rFonts w:ascii="Times New Roman" w:cs="Times New Roman" w:hAnsi="Times New Roman"/>
      <w:b/>
      <w:bCs/>
      <w:sz w:val="26"/>
      <w:szCs w:val="26"/>
      <w:shd w:val="clear" w:color="auto" w:fill="ffffff"/>
    </w:rPr>
  </w:style>
  <w:style w:type="paragraph" w:customStyle="1" w:styleId="Heading#3">
    <w:name w:val="Heading #3"/>
    <w:basedOn w:val="Normal"/>
    <w:link w:val="Heading#3_"/>
    <w:uiPriority w:val="99"/>
    <w:qFormat w:val="on"/>
    <w:pPr>
      <w:widowControl w:val="off"/>
      <w:shd w:val="clear" w:color="auto" w:fill="ffffff"/>
      <w:spacing w:before="300" w:after="300" w:line="240" w:lineRule="atLeast"/>
      <w:jc w:val="center"/>
    </w:pPr>
    <w:rPr>
      <w:b/>
      <w:bCs/>
      <w:sz w:val="26"/>
      <w:szCs w:val="26"/>
    </w:rPr>
  </w:style>
  <w:style w:type="character" w:customStyle="1" w:styleId="Heading#3+NotBold">
    <w:name w:val="Heading #3 + Not Bold"/>
    <w:uiPriority w:val="99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Tablecaption_">
    <w:name w:val="Table caption_"/>
    <w:link w:val="Tablecaption"/>
    <w:uiPriority w:val="99"/>
    <w:rPr>
      <w:rFonts w:ascii="Times New Roman" w:cs="Times New Roman" w:hAnsi="Times New Roman"/>
      <w:b/>
      <w:bCs/>
      <w:sz w:val="23"/>
      <w:szCs w:val="23"/>
      <w:shd w:val="clear" w:color="auto" w:fill="ffffff"/>
    </w:rPr>
  </w:style>
  <w:style w:type="paragraph" w:customStyle="1" w:styleId="Tablecaption">
    <w:name w:val="Table caption"/>
    <w:basedOn w:val="Normal"/>
    <w:link w:val="Tablecaption_"/>
    <w:uiPriority w:val="99"/>
    <w:qFormat w:val="on"/>
    <w:pPr>
      <w:widowControl w:val="off"/>
      <w:shd w:val="clear" w:color="auto" w:fill="ffffff"/>
      <w:spacing w:after="0" w:line="322" w:lineRule="exact"/>
      <w:jc w:val="center"/>
    </w:pPr>
    <w:rPr>
      <w:b/>
      <w:bCs/>
      <w:sz w:val="23"/>
      <w:szCs w:val="23"/>
    </w:rPr>
  </w:style>
  <w:style w:type="character" w:customStyle="1" w:styleId="Bodytext+11">
    <w:name w:val="Body text + 11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+ArialNarrow">
    <w:name w:val="Body text + Arial Narrow"/>
    <w:uiPriority w:val="99"/>
    <w:qFormat w:val="on"/>
    <w:rPr>
      <w:rFonts w:ascii="Arial Narrow" w:cs="Arial Narrow" w:hAnsi="Arial Narrow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Tablecaption(2)_">
    <w:name w:val="Table caption (2)_"/>
    <w:uiPriority w:val="99"/>
    <w:qFormat w:val="on"/>
    <w:rPr>
      <w:rFonts w:ascii="Times New Roman" w:cs="Times New Roman" w:hAnsi="Times New Roman"/>
      <w:sz w:val="22"/>
      <w:szCs w:val="22"/>
      <w:u w:val="none"/>
    </w:rPr>
  </w:style>
  <w:style w:type="character" w:customStyle="1" w:styleId="Tablecaption(2)">
    <w:name w:val="Table caption (2)"/>
    <w:uiPriority w:val="99"/>
    <w:qFormat w:val="on"/>
    <w:rPr>
      <w:rFonts w:ascii="Times New Roman" w:cs="Times New Roman" w:hAnsi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Bodytext+Bold">
    <w:name w:val="Body text + Bold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ListParagraph">
    <w:name w:val="List Paragraph"/>
    <w:basedOn w:val="Normal"/>
    <w:uiPriority w:val="34"/>
    <w:qFormat w:val="on"/>
    <w:pPr>
      <w:widowControl w:val="off"/>
      <w:spacing w:after="0" w:line="240" w:lineRule="auto"/>
      <w:ind w:left="720"/>
      <w:contextualSpacing w:val="on"/>
    </w:pPr>
    <w:rPr>
      <w:rFonts w:ascii="Courier New" w:cs="Courier New" w:eastAsia="Courier New" w:hAnsi="Courier New"/>
      <w:color w:val="000000"/>
      <w:szCs w:val="24"/>
    </w:rPr>
  </w:style>
  <w:style w:type="character" w:customStyle="1" w:styleId="Bodytext(12)_">
    <w:name w:val="Body text (12)_"/>
    <w:uiPriority w:val="99"/>
    <w:qFormat w:val="on"/>
    <w:rPr>
      <w:rFonts w:ascii="Times New Roman" w:cs="Times New Roman" w:hAnsi="Times New Roman"/>
      <w:b/>
      <w:bCs/>
      <w:sz w:val="23"/>
      <w:szCs w:val="23"/>
      <w:u w:val="none"/>
    </w:rPr>
  </w:style>
  <w:style w:type="character" w:customStyle="1" w:styleId="Bodytext(12)">
    <w:name w:val="Body text (12)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(6)+11">
    <w:name w:val="Body text (6) + 11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qFormat w:val="on"/>
    <w:rPr>
      <w:rFonts w:ascii="Tahoma" w:cs="Tahoma" w:hAnsi="Tahoma"/>
      <w:sz w:val="16"/>
      <w:szCs w:val="16"/>
    </w:rPr>
  </w:style>
  <w:style w:type="character" w:customStyle="1" w:styleId="ТекстпримечанияЗнак">
    <w:name w:val="Текст примечания Знак"/>
    <w:basedOn w:val="DefaultParagraphFont"/>
    <w:link w:val="Annotationtext"/>
    <w:uiPriority w:val="99"/>
    <w:semiHidden w:val="on"/>
    <w:qFormat w:val="on"/>
    <w:rPr>
      <w:sz w:val="20"/>
      <w:szCs w:val="20"/>
    </w:rPr>
  </w:style>
  <w:style w:type="character" w:customStyle="1" w:styleId="ТемапримечанияЗнак">
    <w:name w:val="Тема примечания Знак"/>
    <w:basedOn w:val="ТекстпримечанияЗнак"/>
    <w:link w:val="Annotationsubject"/>
    <w:uiPriority w:val="99"/>
    <w:semiHidden w:val="on"/>
    <w:qFormat w:val="on"/>
    <w:rPr>
      <w:b/>
      <w:bCs/>
      <w:sz w:val="20"/>
      <w:szCs w:val="20"/>
    </w:rPr>
  </w:style>
  <w:style w:type="paragraph" w:customStyle="1" w:styleId="Безинтервала1">
    <w:name w:val="Без интервала1"/>
    <w:uiPriority w:val="99"/>
    <w:qFormat w:val="on"/>
    <w:rPr>
      <w:rFonts w:eastAsia="Times New Roman"/>
      <w:szCs w:val="24"/>
    </w:rPr>
  </w:style>
  <w:style w:type="paragraph" w:customStyle="1" w:styleId="Абзацсписка1">
    <w:name w:val="Абзац списка1"/>
    <w:basedOn w:val="Normal"/>
    <w:uiPriority w:val="99"/>
    <w:qFormat w:val="on"/>
    <w:pPr>
      <w:ind w:left="720"/>
    </w:pPr>
    <w:rPr>
      <w:rFonts w:ascii="Calibri" w:eastAsia="Times New Roman" w:hAnsi="Calibri"/>
    </w:rPr>
  </w:style>
  <w:style w:type="character" w:customStyle="1" w:styleId="ОсновнойтекстЗнак">
    <w:name w:val="Основной текст Знак"/>
    <w:basedOn w:val="DefaultParagraphFont"/>
    <w:link w:val="BodyText"/>
    <w:uiPriority w:val="99"/>
    <w:qFormat w:val="on"/>
    <w:rPr>
      <w:rFonts w:ascii="Times New Roman" w:cs="Times New Roman" w:eastAsia="MS Mincho" w:hAnsi="Times New Roman"/>
      <w:sz w:val="24"/>
      <w:szCs w:val="24"/>
      <w:lang w:eastAsia="ja-JP"/>
    </w:rPr>
  </w:style>
  <w:style w:type="character" w:customStyle="1" w:styleId="Заголовок2Знак">
    <w:name w:val="Заголовок 2 Знак"/>
    <w:link w:val="Heading2"/>
    <w:uiPriority w:val="9"/>
    <w:qFormat w:val="on"/>
    <w:rPr>
      <w:rFonts w:ascii="Times New Roman" w:cs="Times New Roman" w:eastAsia="MS Mincho" w:hAnsi="Times New Roman"/>
      <w:b/>
      <w:bCs/>
      <w:sz w:val="24"/>
      <w:szCs w:val="24"/>
      <w:lang w:eastAsia="ja-JP"/>
    </w:rPr>
  </w:style>
  <w:style w:type="paragraph" w:customStyle="1" w:styleId="Текст_прост">
    <w:name w:val="Текст_прост"/>
    <w:basedOn w:val="Normal"/>
    <w:link w:val="Текст_простЗнак"/>
    <w:uiPriority w:val="99"/>
    <w:qFormat w:val="on"/>
    <w:pPr>
      <w:widowControl w:val="off"/>
      <w:spacing w:after="0" w:line="240" w:lineRule="auto"/>
      <w:ind w:firstLine="709"/>
      <w:jc w:val="both"/>
    </w:pPr>
    <w:rPr>
      <w:rFonts w:eastAsia="Times New Roman"/>
      <w:szCs w:val="24"/>
    </w:rPr>
  </w:style>
  <w:style w:type="character" w:customStyle="1" w:styleId="Текст_простЗнак">
    <w:name w:val="Текст_прост Знак"/>
    <w:basedOn w:val="DefaultParagraphFont"/>
    <w:link w:val="Текст_прост"/>
    <w:uiPriority w:val="99"/>
    <w:qFormat w:val="on"/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customStyle="1" w:styleId="Просттекстбезабз.отсупа">
    <w:name w:val="Прост текст без абз. отсупа"/>
    <w:basedOn w:val="Текст_прост"/>
    <w:link w:val="Просттекстбезабз.отсупаЗнак"/>
    <w:uiPriority w:val="99"/>
    <w:qFormat w:val="on"/>
    <w:pPr>
      <w:ind w:firstLine="0"/>
    </w:pPr>
  </w:style>
  <w:style w:type="character" w:customStyle="1" w:styleId="Просттекстбезабз.отсупаЗнак">
    <w:name w:val="Прост текст без абз. отсупа Знак"/>
    <w:basedOn w:val="Текст_простЗнак"/>
    <w:link w:val="Просттекстбезабз.отсупа"/>
    <w:uiPriority w:val="99"/>
    <w:qFormat w:val="on"/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customStyle="1" w:styleId="Марк_текст">
    <w:name w:val="Марк_текст"/>
    <w:basedOn w:val="Normal"/>
    <w:link w:val="Марк_текстЗнак"/>
    <w:uiPriority w:val="99"/>
    <w:qFormat w:val="on"/>
    <w:pPr>
      <w:widowControl w:val="off"/>
      <w:numPr>
        <w:ilvl w:val="0"/>
        <w:numId w:val="2"/>
      </w:numPr>
      <w:tabs>
        <w:tab w:val="left" w:pos="992"/>
      </w:tabs>
      <w:spacing w:after="120" w:line="240" w:lineRule="auto"/>
      <w:contextualSpacing w:val="on"/>
      <w:jc w:val="both"/>
    </w:pPr>
    <w:rPr>
      <w:rFonts w:eastAsia="Cambria"/>
      <w:spacing w:val="-4"/>
      <w:szCs w:val="24"/>
    </w:rPr>
  </w:style>
  <w:style w:type="character" w:customStyle="1" w:styleId="Марк_текстЗнак">
    <w:name w:val="Марк_текст Знак"/>
    <w:basedOn w:val="DefaultParagraphFont"/>
    <w:link w:val="Марк_текст"/>
    <w:uiPriority w:val="99"/>
    <w:qFormat w:val="on"/>
    <w:rPr>
      <w:rFonts w:ascii="Times New Roman" w:cs="Times New Roman" w:eastAsia="Cambria" w:hAnsi="Times New Roman"/>
      <w:spacing w:val="-4"/>
      <w:sz w:val="24"/>
      <w:szCs w:val="24"/>
      <w:lang w:eastAsia="ru-RU"/>
    </w:rPr>
  </w:style>
  <w:style w:type="paragraph" w:customStyle="1" w:styleId="Названиеобъектацентр">
    <w:name w:val="Название объекта центр"/>
    <w:basedOn w:val="Caption"/>
    <w:link w:val="НазваниеобъектацентрЗнак"/>
    <w:uiPriority w:val="99"/>
    <w:qFormat w:val="on"/>
    <w:pPr>
      <w:spacing w:after="120"/>
    </w:pPr>
    <w:rPr>
      <w:b/>
    </w:rPr>
  </w:style>
  <w:style w:type="character" w:customStyle="1" w:styleId="НазваниеобъектацентрЗнак">
    <w:name w:val="Название объекта центр Знак"/>
    <w:basedOn w:val="DefaultParagraphFont"/>
    <w:link w:val="Названиеобъектацентр"/>
    <w:uiPriority w:val="99"/>
    <w:qFormat w:val="on"/>
    <w:rPr>
      <w:rFonts w:ascii="Times New Roman" w:cs="Times New Roman" w:eastAsia="Times New Roman" w:hAnsi="Times New Roman"/>
      <w:b/>
      <w:iCs/>
      <w:sz w:val="24"/>
      <w:szCs w:val="18"/>
      <w:lang w:eastAsia="ru-RU"/>
    </w:rPr>
  </w:style>
  <w:style w:type="paragraph" w:customStyle="1" w:styleId="Шапка_табл">
    <w:name w:val="Шапка_табл"/>
    <w:link w:val="Шапка_таблЗнак"/>
    <w:uiPriority w:val="99"/>
    <w:qFormat w:val="on"/>
    <w:pPr>
      <w:ind w:firstLine="11"/>
      <w:jc w:val="center"/>
    </w:pPr>
    <w:rPr>
      <w:rFonts w:eastAsia="MS Mincho"/>
      <w:b/>
      <w:spacing w:val="-6"/>
      <w:sz w:val="16"/>
      <w:szCs w:val="16"/>
      <w:lang w:eastAsia="ja-JP"/>
    </w:rPr>
  </w:style>
  <w:style w:type="character" w:customStyle="1" w:styleId="Шапка_таблЗнак">
    <w:name w:val="Шапка_табл Знак"/>
    <w:basedOn w:val="ОсновнойтекстЗнак"/>
    <w:link w:val="Шапка_табл"/>
    <w:uiPriority w:val="99"/>
    <w:qFormat w:val="on"/>
    <w:rPr>
      <w:rFonts w:ascii="Times New Roman" w:cs="Times New Roman" w:eastAsia="MS Mincho" w:hAnsi="Times New Roman"/>
      <w:b/>
      <w:spacing w:val="-6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header1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6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Юлия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</Properties>
</file>