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E980" w14:textId="77777777">
      <w:pPr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РАБОЧЕЙ ПРОГРАММЫ УЧЕБНОЙ ПРАКТИКИ</w:t>
            </w:r>
          </w:p>
          <w:p w14:paraId="4F520A89" w14:textId="481E8BB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ПРИЕМ 2024 г.</w:t>
            </w:r>
          </w:p>
          <w:p w14:paraId="397FC19A" w14:textId="727B245C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 xml:space="preserve">ОЧНАЯ</w:t>
            </w:r>
          </w:p>
          <w:p w14:paraId="493DF43E" w14:textId="377C601B">
            <w:pPr>
              <w:suppressAutoHyphens/>
              <w:jc w:val="center"/>
              <w:rPr>
                <w:szCs w:val="20"/>
              </w:rPr>
            </w:pPr>
          </w:p>
        </w:tc>
      </w:tr>
      <w:tr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 xml:space="preserve">Практика по получению первичных навыков научно-исследовательской работы</w:t>
            </w:r>
          </w:p>
        </w:tc>
      </w:tr>
    </w:tbl>
    <w:p w14:paraId="74FD3A8C" w14:textId="77777777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>
            <w:pPr>
              <w:suppressAutoHyphens/>
              <w:rPr>
                <w:b/>
              </w:rPr>
            </w:pPr>
            <w:r>
              <w:t xml:space="preserve">16.04.01 Техническая физика</w:t>
            </w:r>
          </w:p>
        </w:tc>
      </w:tr>
      <w:tr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09057EA8">
            <w:pPr>
              <w:suppressAutoHyphens/>
              <w:rPr>
                <w:b/>
              </w:rPr>
            </w:pPr>
            <w:r>
              <w:t xml:space="preserve">Пучковые и плазменные технологии</w:t>
            </w:r>
          </w:p>
        </w:tc>
      </w:tr>
      <w:tr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>
            <w:pPr>
              <w:suppressAutoHyphens/>
            </w:pPr>
            <w:r>
              <w:rPr>
                <w:bCs/>
              </w:rPr>
              <w:t xml:space="preserve">высшее образование – магистратура</w:t>
            </w:r>
          </w:p>
        </w:tc>
      </w:tr>
      <w:tr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>
            <w:pPr>
              <w:suppressAutoHyphens/>
              <w:jc w:val="center"/>
              <w:rPr>
                <w:b/>
              </w:rPr>
            </w:pPr>
            <w:r>
              <w:t xml:space="preserve">с 44 по 47 неделю 2024/2025 учебного года</w:t>
            </w:r>
          </w:p>
        </w:tc>
      </w:tr>
      <w:tr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>
            <w:pPr>
              <w:suppressAutoHyphens/>
            </w:pPr>
            <w:r>
              <w:t xml:space="preserve">1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>
            <w:pPr>
              <w:suppressAutoHyphens/>
            </w:pPr>
            <w:r>
              <w:t xml:space="preserve">2</w:t>
            </w:r>
          </w:p>
        </w:tc>
      </w:tr>
      <w:tr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>
            <w:pPr>
              <w:suppressAutoHyphens/>
              <w:jc w:val="center"/>
            </w:pPr>
            <w:r>
              <w:t xml:space="preserve">6</w:t>
            </w:r>
          </w:p>
        </w:tc>
      </w:tr>
      <w:tr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>
            <w:pPr>
              <w:suppressAutoHyphens/>
              <w:jc w:val="center"/>
            </w:pPr>
            <w:r>
              <w:t xml:space="preserve">4</w:t>
            </w:r>
          </w:p>
        </w:tc>
      </w:tr>
      <w:tr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>
            <w:pPr>
              <w:suppressAutoHyphens/>
              <w:jc w:val="center"/>
            </w:pPr>
            <w:r>
              <w:t>*</w:t>
            </w:r>
          </w:p>
        </w:tc>
      </w:tr>
      <w:tr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>
            <w:pPr>
              <w:suppressAutoHyphens/>
              <w:jc w:val="center"/>
            </w:pPr>
            <w:r>
              <w:t>**</w:t>
            </w:r>
          </w:p>
        </w:tc>
      </w:tr>
      <w:tr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>
            <w:pPr>
              <w:suppressAutoHyphens/>
              <w:jc w:val="center"/>
            </w:pPr>
            <w:r>
              <w:t xml:space="preserve">216</w:t>
            </w:r>
          </w:p>
        </w:tc>
      </w:tr>
      <w:tr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>
            <w:pPr>
              <w:suppressAutoHyphens/>
              <w:jc w:val="center"/>
              <w:rPr>
                <w:b/>
              </w:rPr>
            </w:pPr>
          </w:p>
        </w:tc>
      </w:tr>
      <w:tr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>
            <w:pPr>
              <w:suppressAutoHyphens/>
              <w:jc w:val="center"/>
            </w:pPr>
            <w:r>
              <w:t xml:space="preserve">НОЦ Б.П. Вейнберга</w:t>
            </w:r>
          </w:p>
        </w:tc>
      </w:tr>
    </w:tbl>
    <w:p w14:paraId="47FEDCFB" w14:textId="77777777">
      <w:pPr>
        <w:pStyle w:val="Heading1"/>
        <w:suppressAutoHyphens/>
        <w:sectPr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>
      <w:pPr>
        <w:pStyle w:val="Heading1"/>
        <w:suppressAutoHyphens/>
      </w:pPr>
      <w:r>
        <w:t>Цели практики</w:t>
      </w:r>
    </w:p>
    <w:p w14:paraId="5C24CE4A" w14:textId="77777777">
      <w:pPr>
        <w:pStyle w:val="a7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>
            <w:pPr>
              <w:pStyle w:val="af1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>
            <w:pPr>
              <w:pStyle w:val="af1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>
            <w:pPr>
              <w:pStyle w:val="af1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>
            <w:pPr>
              <w:pStyle w:val="af1"/>
            </w:pPr>
            <w:r>
              <w:t>Составляющие результатов освоения (дескрипторы компетенции)</w:t>
            </w:r>
          </w:p>
        </w:tc>
      </w:tr>
      <w:tr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>
            <w:pPr>
              <w:pStyle w:val="af1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>
            <w:pPr>
              <w:pStyle w:val="af1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>
            <w:pPr>
              <w:pStyle w:val="af1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>
            <w:pPr>
              <w:pStyle w:val="af1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>
            <w:pPr>
              <w:pStyle w:val="af1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>
            <w:pPr>
              <w:pStyle w:val="af1"/>
            </w:pPr>
            <w:r>
              <w:t xml:space="preserve">Наименование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ОПК(У)-1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профессиональной эксплуатации современного научного и технологического оборудования и приборов в своей профессиональной деятельности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проводить экспериментальные исследования на современном оборудовании, предназначенными для использования в области технической физики, а также  самостоятельно осваивать современную физическую аппаратуру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профессиональной эксплуатации  современного научного и технологического оборудования и приборов, предназначенных для использования в области технической физики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работать с оборудованием и приборами, используемыми в области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устройство и принципы работы современного оборудования и приборов, используемых в области технической физики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использовать углубленные теоретические и практические знания фундаментальных и прикладных наук, в том числе технической физики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применять на практике знания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применения на практике знаний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на практике знания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работать в научном коллективе, готов генерировать, оценивать и использовать новые идеи, способен находить творческие, нестандартные решения профессиональных и социальных задач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планировать и  проводить и  научно-исследовательскую работу в области технической физики, а также анализировать полученные результаты и находить творческие нестандартные решения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планирования, проведения и анализа исследований в области профессиональной деятельности.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планировать, проводить и анализировать исследования в области профессиональной деятельности.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принципах организации исследований в области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ОПК(У)-4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вскрывать физическую, естественнонаучную сущность проблем, возникающих в ходе осуществления профессиональной деятельности, проводить их качественный и количественный анализ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вскрывать физическую, естественнонаучную сущность проблем, возникающих в ходе осуществления профессиональной деятельности в области технической физики, проводить их качественный и количественный анализ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постановки задач, анализа, обработки и интерпретации результатов, связанных с профессиональной деятельностью 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вскрывать физическую сущность   задач, связанных с профессиональной деятельностью  в области пучковых и плазменных технологий, а также анализировать полученные результаты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современном состоянии теоретических и экспериментальных работ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ОПК(У)-5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научный поиск и разработку новых перспективных подходов и методов к решению профессиональных задач, участвовать в научной и инновационной деятельности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осуществлять научный поиск и разработку новых перспективных подходов и методов к решению профессиональных задач, участвовать в научной и инновационной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поиска и разработки адекватных подходов и методов  к решению задач, связанных с применением пучковых и плазменных технологий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осуществлять поиск, систематизировать  и анализировать необходимые данные в научно-технической литературе, разрабатывать новые перспективные подходы и методы к решению профессиональных задач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ОПК(У)-6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осваивать и применять современные физико-математические методы и методы искусственного интеллекта для решения профессиональных задач, составлять практические рекомендации по использованию полученных результатов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осваивать и применять современные физико-математические методы и методы искусственного интеллекта для решения профессиональных задач, связанных с реализацией пучковых и плазменных технологий, составлять практические рекомендации по использованию полученных результатов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современными методами обработки материалов, создания новых материалов и структур с использованием плазмы и пучков, а также методами анализа свойств материалов и поверхностных структур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проводить теоретические и экспериментальные исследования в области пучковых и плазменных технологий, в том числе с привлечением методов искусственного интеллекта,  составлять отчёты и практические рекомендации по использованию полученных результатов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физических принципах, лежащих в основе современных технологий обработки материалов, создания новых материалов и структур, базирующихся на использовании плазмы и пучков заряженных частиц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ОПК(У)-7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представлять результаты исследования в формах отчетов, рефератов, публикаций и презентаций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представлять результаты исследования в формах отчётов, рефератов, публикаций и презентаций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обработки, интерпретации и представления результатов научного исследования, приёмами публичных выступлений и ведения дискуссий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современные компьютерные технологии и информационные ресурсы для представления результатов исследования в формах отчётов, рефератов, публикаций и презентаций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 методики подготовки научных докладов, отчётов, публикаций, презентаций,  приемы публичных выступлений и ведения дискуссий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ПК(У)-1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самостоятельно проводить научные исследования в областях, связанных с применением пучковых и плазменных технологий, с использованием стандартных и специально разработанных инструментальных и программных средств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самостоятельно проводить научные исследования в областях, связанных с применением пучковых и плазменных технологий, с использованием стандартных и специально разработанных инструментальных и программных средств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выполнения физико-технических научных исследований в области применения пучковых и плазменных технологий для оптимизации параметров объектов и процессов с использованием стандартных и специально разработанных инструментальных и программных средств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самостоятельно разрабатывать адекватную физико-техническую или математическую модель изучаемого процесса, выполнять расчёты, используя стандартные или специально разработанные программные средства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методах проведения аналитических и имитационных исследований в области пучковых и плазменных технологий, а также о принципах оптимизации параметров объектов и процессов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организации и выполнению научно-исследовательских разработок в области создания функциональных покрытий и технологий их изготовления методами осаждения в вакууме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к организации и выполнению научно-исследовательских разработок в области создания функциональных покрытий и технологий их изготовления методами осаждения в вакууме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методами разработки и анализа характеристик  функциональных покрытий различного назначения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самостоятельно проводить научные исследования и разработки  в области создания функциональных покрытий пучково-плазменными методами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Обладать теоретическими и практическими знаниями в области материаловедения тонких плёнок и покрытий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организации и выполнению научно-исследовательских разработок в области создания микро- и наноразмерных  систем с использованием плазменных и пучковых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к организации и выполнению научно-исследовательских разработок в области создания микро- и наноразмерных  систем с использованием плазменных и пучковых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анализа и разработки микро- и наноразмерных систем с использованием плазменных и пучковых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и анализировать параметры микро- и наноразмерных  систем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методах создания, методиках анализа  микро- и наноразмерных  систем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ПК(У)-7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разрабатывать, оптимизировать и реализовывать современные наукоёмкие технологии в областях технической физики, связанных с применением пучковых и плазменных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готовность разрабатывать, оптимизировать и реализовывать современные наукоёмкие технологии в областях технической физики, связанных с применением пучковых и плазменных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разработки и оптимизации современных наукоёмких технологий в областях технической физики, связанных с применением пучковых и плазменных технологий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анализировать параметры работы современного плазменного и пучкового оборудования, управлять его работой с целью достижения заданных технологических целей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физических принципах, лежащих в основе современных радиационных и плазменных технологий модифицирования поверхностных свойств материалов и создания материалов, обладающих новыми функциональными характеристиками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ПК(У)-8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разрабатывать, проводить наладку и испытания, а также эксплуатировать наукоемкое технологическое и аналитическое оборудование для решения технологических задач в областях, связанных с применением пучковых и плазменных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разрабатывать, проводить наладку и испытания, а также эксплуатировать наукоемкое технологическое и аналитическое оборудование для решения технологических задач в областях, связанных с применением пучковых и плазменных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разработки, наладки и испытаний, а также эксплуатации технологического пучково-плазменного оборудования и аналитических приборов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структурные схемы вакуумного пучково-плазменного оборудования, контролировать его работу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принципы функционирования и устройство элементов и узлов  пучковых и плазменных установок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ПК(У)-9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Готов решать прикладные инженерно-технические и технико-экономические задачи, связанные с применением пучковых и плазменных технологий, с помощью стандартных и специально разработанных инструментальных и программных средств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Решает прикладные инженерно-технические и технико-экономические задачи, связанные с применением пучковых и плазменных технологий, с помощью стандартных и специально разработанных инструментальных и программных средств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решения прикладных инженерно-технических и технико-экономических задач в области плазменных технологий, в том числе  с помощью программных продуктов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самостоятельно разрабатывать адекватную модель технологического процесса, выполнять расчёты, в том числе используя стандартные или специально разработанные программные средства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 современных методах физико-математического и компьютерного моделирования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управлять проектом на всех этапах его жизненного цикла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готовность управлять проектом на всех этапах его жизненного цикла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выполнения и управления проектами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планировать задачи и организовывать их решение  на всех этапах реализации проекта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принципы организации работы на всех этапах выполнения проектов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Организовывает научно-исследовательскую и научно-производственную работу, оценивает качество полученных результатов 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организации научно-исследовательских и научно-производственных работ, оценки качества результатов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методики оценки качества результатов научно-исследовательской и научно-производственной деятельности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принципы организации научно-исследовательских и научно-производственных работ, управления коллективом</w:t>
            </w:r>
          </w:p>
        </w:tc>
      </w:tr>
    </w:tbl>
    <w:p w14:paraId="6DC09D80" w14:textId="77777777">
      <w:pPr>
        <w:pStyle w:val="Heading1"/>
        <w:suppressAutoHyphens/>
      </w:pPr>
      <w:r>
        <w:t>Вид практики, способ, форма и место ее проведения</w:t>
      </w:r>
    </w:p>
    <w:p w14:paraId="11671F0E" w14:textId="2E9DD145">
      <w:pPr>
        <w:pStyle w:val="a7"/>
        <w:suppressAutoHyphens/>
        <w:rPr>
          <w:i/>
        </w:rPr>
      </w:pPr>
      <w:r>
        <w:rPr>
          <w:b/>
        </w:rPr>
        <w:t xml:space="preserve">Вид практики:</w:t>
      </w:r>
      <w:r>
        <w:t xml:space="preserve"> учебная практика</w:t>
      </w:r>
    </w:p>
    <w:p w14:paraId="3C1F10C3" w14:textId="0423B0E0">
      <w:pPr>
        <w:pStyle w:val="a7"/>
        <w:suppressAutoHyphens/>
      </w:pPr>
      <w:r>
        <w:rPr>
          <w:b/>
        </w:rPr>
        <w:t xml:space="preserve">Тип практики:</w:t>
      </w:r>
      <w:r>
        <w:t xml:space="preserve"> практика по получению первичных навыков научно-исследовательской работы</w:t>
      </w:r>
    </w:p>
    <w:p w14:paraId="0ED2D6EB" w14:textId="4F93FA5C">
      <w:pPr>
        <w:pStyle w:val="a7"/>
        <w:suppressAutoHyphens/>
      </w:pPr>
      <w:r>
        <w:rPr>
          <w:b/>
        </w:rPr>
        <w:t>Формы проведения:</w:t>
      </w:r>
      <w:r>
        <w:rPr>
          <w:rStyle w:val="FootnoteReference"/>
        </w:rPr>
        <w:t xml:space="preserve"> </w:t>
      </w:r>
      <w:r>
        <w:t xml:space="preserve">дискретно (по периоду проведения практики) – путём чередования в календарном учебном графике периодов учебного времени для проведения практики с периодами учебного времени для проведения теоретических занятий.</w:t>
      </w:r>
    </w:p>
    <w:p w14:paraId="498BB330" w14:textId="77777777">
      <w:pPr>
        <w:pStyle w:val="a7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FootnoteReference"/>
          <w:b/>
          <w:spacing w:val="-4"/>
        </w:rPr>
        <w:t xml:space="preserve"> </w:t>
      </w:r>
    </w:p>
    <w:p w14:paraId="13BF635B" w14:textId="77777777">
      <w:pPr>
        <w:pStyle w:val="a4"/>
        <w:suppressAutoHyphens/>
        <w:ind w:left="0" w:firstLine="720"/>
      </w:pPr>
      <w:r>
        <w:t xml:space="preserve">Стационарная;</w:t>
      </w:r>
    </w:p>
    <w:p w14:paraId="13BF635B" w14:textId="77777777">
      <w:pPr>
        <w:pStyle w:val="a4"/>
        <w:suppressAutoHyphens/>
        <w:ind w:left="0" w:firstLine="720"/>
      </w:pPr>
      <w:r>
        <w:t xml:space="preserve">Выездная.</w:t>
      </w:r>
    </w:p>
    <w:p w14:paraId="7FCF4BD1" w14:textId="55420BA7">
      <w:pPr>
        <w:pStyle w:val="a7"/>
        <w:suppressAutoHyphens/>
        <w:rPr>
          <w:b/>
        </w:rPr>
      </w:pPr>
      <w:r>
        <w:rPr>
          <w:b/>
        </w:rPr>
        <w:t xml:space="preserve">Места проведения практики:</w:t>
      </w:r>
    </w:p>
    <w:p w14:paraId="135B489F" w14:textId="77777777">
      <w:pPr>
        <w:pStyle w:val="a4"/>
        <w:suppressAutoHyphens/>
        <w:ind w:left="0" w:firstLine="720"/>
      </w:pPr>
      <w:r>
        <w:t xml:space="preserve">Профильные организации;</w:t>
      </w:r>
    </w:p>
    <w:p w14:paraId="135B489F" w14:textId="77777777">
      <w:pPr>
        <w:pStyle w:val="a4"/>
        <w:suppressAutoHyphens/>
        <w:ind w:left="0" w:firstLine="720"/>
      </w:pPr>
      <w:r>
        <w:t xml:space="preserve">Структурные подразделения университета.</w:t>
      </w:r>
    </w:p>
    <w:p w14:paraId="51964A9F" w14:textId="65C6C141">
      <w:pPr>
        <w:pStyle w:val="a7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>
      <w:pPr>
        <w:pStyle w:val="Heading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>
      <w:pPr>
        <w:pStyle w:val="Caption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>
            <w:pPr>
              <w:pStyle w:val="af1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>
            <w:pPr>
              <w:pStyle w:val="af1"/>
            </w:pPr>
            <w:r>
              <w:t>Индикатор достижения компетенции</w:t>
            </w:r>
          </w:p>
        </w:tc>
      </w:tr>
      <w:tr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>
            <w:pPr>
              <w:pStyle w:val="af1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>
            <w:pPr>
              <w:pStyle w:val="af1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>
            <w:pPr>
              <w:pStyle w:val="af1"/>
              <w:rPr>
                <w:sz w:val="14"/>
              </w:rPr>
            </w:pP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Понимание принципов организации научно-исследовательских и научно-производственных работ, управления коллективом.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И.УК(У)-2.1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И.УК(У)-3.1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И.ПК(У)-2.1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Умение применять теоретические и практические знания фундаментальных и прикладных наук, составляющих основу современной технической физики в области плазменных и пучковых технологий, материаловедения тонких плёнок и покрытий, для решения проблем, возникающих при проектировании и реализации радиационных и плазменных технологий.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И.ОПК(У)-2.1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И.ОПК(У)-4.1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И.ПК(У)-3.1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выполнять научные исследования в области плазменных и пучковых технологий, работать на экспериментальном оборудовании, проводить диагностические и расчётные работы в области пучковых и плазменных технологий.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И.ОПК(У)-1.1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И.ОПК(У)-3.1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И.ОПК(У)-4.1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И.ОПК(У)-6.1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И.ПК(У)-1.1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И.ПК(У)-2.1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И.ПК(У)-8.1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И.ПК(У)-7.1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И.ПК(У)-9.1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выполнять обработку и анализ данных, полученных при теоретических и экспериментальных исследованиях, производить поиск научной литературы по теме своего исследования, готовить отчёты, публично выступать с научными докладами, аргументировано защищать результаты своих исследований.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И.ОПК(У)-5.1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И.ОПК(У)-7.1</w:t>
            </w:r>
          </w:p>
        </w:tc>
      </w:tr>
    </w:tbl>
    <w:p w14:paraId="5AD0649D" w14:textId="77777777">
      <w:pPr>
        <w:pStyle w:val="Heading1"/>
        <w:suppressAutoHyphens/>
      </w:pPr>
      <w:r>
        <w:t>Структура и содержание практики</w:t>
      </w:r>
    </w:p>
    <w:p w14:paraId="07B0B3AE" w14:textId="77777777">
      <w:pPr>
        <w:pStyle w:val="Caption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>
            <w:pPr>
              <w:pStyle w:val="af1"/>
            </w:pPr>
            <w:r>
              <w:t>№</w:t>
            </w:r>
          </w:p>
          <w:p w14:paraId="69CAC0BB" w14:textId="2AEA39B2">
            <w:pPr>
              <w:pStyle w:val="af1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>
            <w:pPr>
              <w:pStyle w:val="af1"/>
            </w:pPr>
            <w:r>
              <w:t xml:space="preserve">Этапы практики,</w:t>
            </w:r>
          </w:p>
          <w:p w14:paraId="0AA3B9E1" w14:textId="77777777">
            <w:pPr>
              <w:pStyle w:val="af1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>
            <w:pPr>
              <w:pStyle w:val="af1"/>
            </w:pPr>
            <w:r>
              <w:t>Формируемый результат обучения</w:t>
            </w:r>
          </w:p>
        </w:tc>
      </w:tr>
      <w:tr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распорядка.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организационной структурой предприятия или научно-исследовательского учреждения и действующей на нем системы управления.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РП-1</w:t>
            </w: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2, 3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конкретных исследуемых процессов.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приемов и методов выявления, наблюдения, измерения и контроля параметров исследуемых процессов.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решении конкретной научной, производственно-технологической или проектной задачи.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Усвоение приемов, методов и способов обработки, представления и интерпретации результатов проведенных исследований.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РП-1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РП-2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РП-3</w:t>
            </w: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РП-4</w:t>
            </w:r>
          </w:p>
        </w:tc>
      </w:tr>
    </w:tbl>
    <w:p w14:paraId="4144D775" w14:textId="77777777">
      <w:pPr>
        <w:pStyle w:val="Heading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>
      <w:pPr>
        <w:pStyle w:val="Heading2"/>
        <w:suppressAutoHyphens/>
      </w:pPr>
      <w:r>
        <w:t>Учебно-методическое обеспечение</w:t>
      </w:r>
    </w:p>
    <w:p w14:paraId="6F7DACE9" w14:textId="022E4D45">
      <w:pPr>
        <w:pStyle w:val="ac"/>
        <w:rPr>
          <w:rFonts w:eastAsia="Cambria"/>
        </w:rPr>
      </w:pPr>
      <w:r>
        <w:rPr>
          <w:rFonts w:eastAsia="Cambria"/>
        </w:rPr>
        <w:t xml:space="preserve">Основная литература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Кривобоков, Валерий Павлович. Плазменные покрытия (свойства и применение) : учебное пособие [Электронный ресурс] / В. П. Кривобоков, Н. С. Сочугов, А. А. Соловьёв; Национальный исследовательский Томский политехнический университет (ТПУ). — 1 компьютерный файл (pdf; 1.73 MB). — Томск: Изд-во ТПУ, 2011. — Заглавие с титульного экрана. —  Электронная версия печатной публикации. —  Режим доступа: из корпоративной сети ТПУ. —  Системные требования: Adobe Reader... – URL: http://www.lib.tpu.ru/fulltext2/m/2012/m260.pdf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Кривобоков, Валерий Павлович. Плазменные покрытия (методы и оборудование) : учебное пособие [Электронный ресурс] / В. П. Кривобоков, Н. С. Сочугов, А. А. Соловьев; Томский политехнический университет (ТПУ). — 1 компьютерный файл (pdf; 1.9 MB). — Томск: Изд-во ТПУ, 2008. — Заглавие с титульного экрана. —  Электронная версия печатной публикации. —  Режим доступа: из корпоративной сети ТПУ. —  Системные требования: Adobe Reader... – URL: http://www.lib.tpu.ru/fulltext2/m/2010/m195.pdf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Юрьева, Алена Викторовна. Введение в плазменные технологии и водородную энергетику : учебное пособие [Электронный ресурс] / А. В. Юрьева, А. Н. Ковальчук; Национальный исследовательский Томский политехнический университет (ТПУ). — 1 компьютерный файл (pdf; 1.9 MB). — Томск: Изд-во ТПУ, 2014. — Заглавие с титульного экрана. —  Электронная версия печатной публикации. —  Режим доступа: из корпоративной сети ТПУ. —  Системные требования: Adobe Reader... – URL: http://www.lib.tpu.ru/fulltext2/m/2015/m067.pdf</w:t>
      </w:r>
    </w:p>
    <w:p w14:paraId="08135D45" w14:textId="22A1E3E0">
      <w:pPr>
        <w:pStyle w:val="ac"/>
        <w:rPr>
          <w:rFonts w:eastAsia="Cambria"/>
        </w:rPr>
      </w:pPr>
      <w:r>
        <w:rPr>
          <w:rFonts w:eastAsia="Cambria"/>
        </w:rPr>
        <w:t xml:space="preserve">Дополнительная литература</w:t>
      </w:r>
    </w:p>
    <w:p w14:paraId="00564D68" w14:textId="70065CA3">
      <w:pPr>
        <w:pStyle w:val="a1"/>
        <w:numPr>
          <w:ilvl w:val="0"/>
          <w:numId w:val="35"/>
        </w:numPr>
        <w:ind w:left="0" w:firstLine="709"/>
        <w:jc w:val="both"/>
      </w:pPr>
      <w:r>
        <w:t>Духопельников, Д. В. Устройство, принципы работы, применение. Ч. 1 / Духопельников Д. В. — Москва : МГТУ им. Н.Э. Баумана, 2014. — 53 с. — Рекомендовано Научно-методическим советом МГТУ им. Н.Э. Баумана в качестве учебного пособия по курсу «Технологические ионно-плазменные установки». — Книга из коллекции МГТУ им. Н.Э. Баумана - Инженерно-технические науки. — ISBN 978-5-7038-3798-6.. – URL: http://e.lanbook.com/books/element.php?pl1_id=52087</w:t>
      </w:r>
    </w:p>
    <w:p w14:paraId="00564D68" w14:textId="70065CA3">
      <w:pPr>
        <w:pStyle w:val="a1"/>
        <w:numPr>
          <w:ilvl w:val="0"/>
          <w:numId w:val="35"/>
        </w:numPr>
        <w:ind w:left="0" w:firstLine="709"/>
        <w:jc w:val="both"/>
      </w:pPr>
      <w:r>
        <w:t>Берлин, Е. В. Получение тонких пленок реактивным магнетронным распылением : справочное пособие [Электронный ресурс] / Берлин Е. В., Сейдман Л. А. — Москва : Техносфера, 2014. — 256 с. — Книга из коллекции Техносфера - Инженерно-технические науки. — ISBN 978-5-94836-369-1.. – URL: http://e.lanbook.com/books/element.php?pl1_id=73531</w:t>
      </w:r>
    </w:p>
    <w:p w14:paraId="65437CDF" w14:textId="77777777">
      <w:pPr>
        <w:pStyle w:val="Heading2"/>
        <w:suppressAutoHyphens/>
      </w:pPr>
      <w:r>
        <w:t xml:space="preserve">Информационное и программное обеспечение</w:t>
      </w:r>
    </w:p>
    <w:p w14:paraId="2265EB28" w14:textId="77777777">
      <w:pPr>
        <w:pStyle w:val="a7"/>
        <w:suppressAutoHyphens/>
      </w:pPr>
    </w:p>
    <w:p w14:paraId="4BB1CEE6" w14:textId="7877AE48">
      <w:pPr>
        <w:pStyle w:val="a7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Hyperlink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>
      <w:pPr>
        <w:pStyle w:val="a7"/>
        <w:suppressAutoHyphens/>
        <w:rPr>
          <w:rFonts w:eastAsia="Cambria"/>
        </w:rPr>
      </w:pPr>
    </w:p>
    <w:p w14:paraId="47DBFB60" w14:textId="214BBB6D">
      <w:pPr>
        <w:pStyle w:val="a7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716215BE" w14:textId="277F30EB">
      <w:pPr>
        <w:pStyle w:val="a3"/>
        <w:suppressAutoHyphens/>
        <w:jc w:val="both"/>
      </w:pPr>
      <w:r>
        <w:t xml:space="preserve">Office 2019 Standard Russian Academic 32 Office 2019 Standard Russian Academic;</w:t>
      </w:r>
    </w:p>
    <w:p w14:paraId="716215BE" w14:textId="277F30EB">
      <w:pPr>
        <w:pStyle w:val="a3"/>
        <w:suppressAutoHyphens/>
        <w:jc w:val="both"/>
      </w:pPr>
      <w:r>
        <w:t xml:space="preserve">Сборник программного обеспечения для студентов НИ ТПУ, режим доступа https://vap.tpu.ru;</w:t>
      </w:r>
    </w:p>
    <w:p w14:paraId="716215BE" w14:textId="277F30EB">
      <w:pPr>
        <w:pStyle w:val="a3"/>
        <w:suppressAutoHyphens/>
        <w:jc w:val="both"/>
      </w:pPr>
      <w:r>
        <w:t xml:space="preserve">Office 2016 Standard Russian Academic Переходная;</w:t>
      </w:r>
    </w:p>
    <w:p w14:paraId="716215BE" w14:textId="277F30EB">
      <w:pPr>
        <w:pStyle w:val="a3"/>
        <w:suppressAutoHyphens/>
        <w:jc w:val="both"/>
      </w:pPr>
      <w:r>
        <w:t xml:space="preserve">OriginPro 2023 Academic OriginPro 2023 Academic Network.</w:t>
      </w:r>
    </w:p>
    <w:sectPr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DF402" w14:textId="77777777" w:rsidR="00BC698C" w:rsidRDefault="00BC698C" w:rsidP="009A6764">
      <w:r>
        <w:separator/>
      </w:r>
    </w:p>
  </w:endnote>
  <w:endnote w:type="continuationSeparator" w:id="0">
    <w:p w14:paraId="7888432F" w14:textId="77777777" w:rsidR="00BC698C" w:rsidRDefault="00BC698C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20B0604020202020204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7FA0" w14:textId="10750B54">
    <w:pPr>
      <w:pStyle w:val="PlainText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C1C73F7" w14:textId="6853F8AB">
    <w:pPr>
      <w:pStyle w:val="Footer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692687"/>
      <w:docPartObj>
        <w:docPartGallery w:val="Page Numbers (Bottom of Page)"/>
        <w:docPartUnique/>
      </w:docPartObj>
    </w:sdtPr>
    <w:sdtContent>
      <w:p w14:paraId="79A771FE" w14:textId="0412F5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B6E1" w14:textId="77777777">
      <w:r>
        <w:separator/>
      </w:r>
    </w:p>
  </w:footnote>
  <w:footnote w:type="continuationSeparator" w:id="0">
    <w:p w14:paraId="02B299E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54B0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B5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NormalWe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3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4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 w16cid:durableId="2042779799">
    <w:abstractNumId w:val="1"/>
  </w:num>
  <w:num w:numId="2" w16cid:durableId="833380980">
    <w:abstractNumId w:val="34"/>
  </w:num>
  <w:num w:numId="3" w16cid:durableId="6912465">
    <w:abstractNumId w:val="8"/>
  </w:num>
  <w:num w:numId="4" w16cid:durableId="1737319005">
    <w:abstractNumId w:val="0"/>
  </w:num>
  <w:num w:numId="5" w16cid:durableId="1595819936">
    <w:abstractNumId w:val="32"/>
  </w:num>
  <w:num w:numId="6" w16cid:durableId="1050108475">
    <w:abstractNumId w:val="19"/>
  </w:num>
  <w:num w:numId="7" w16cid:durableId="444620349">
    <w:abstractNumId w:val="13"/>
  </w:num>
  <w:num w:numId="8" w16cid:durableId="1459841197">
    <w:abstractNumId w:val="10"/>
  </w:num>
  <w:num w:numId="9" w16cid:durableId="988367049">
    <w:abstractNumId w:val="27"/>
  </w:num>
  <w:num w:numId="10" w16cid:durableId="2123919583">
    <w:abstractNumId w:val="24"/>
  </w:num>
  <w:num w:numId="11" w16cid:durableId="449401851">
    <w:abstractNumId w:val="35"/>
  </w:num>
  <w:num w:numId="12" w16cid:durableId="1577939118">
    <w:abstractNumId w:val="17"/>
  </w:num>
  <w:num w:numId="13" w16cid:durableId="398864525">
    <w:abstractNumId w:val="36"/>
  </w:num>
  <w:num w:numId="14" w16cid:durableId="272368298">
    <w:abstractNumId w:val="11"/>
  </w:num>
  <w:num w:numId="15" w16cid:durableId="892348506">
    <w:abstractNumId w:val="31"/>
  </w:num>
  <w:num w:numId="16" w16cid:durableId="1348754737">
    <w:abstractNumId w:val="22"/>
  </w:num>
  <w:num w:numId="17" w16cid:durableId="2143231950">
    <w:abstractNumId w:val="4"/>
  </w:num>
  <w:num w:numId="18" w16cid:durableId="167866302">
    <w:abstractNumId w:val="2"/>
  </w:num>
  <w:num w:numId="19" w16cid:durableId="246617531">
    <w:abstractNumId w:val="3"/>
  </w:num>
  <w:num w:numId="20" w16cid:durableId="1282375536">
    <w:abstractNumId w:val="12"/>
  </w:num>
  <w:num w:numId="21" w16cid:durableId="2042630659">
    <w:abstractNumId w:val="15"/>
  </w:num>
  <w:num w:numId="22" w16cid:durableId="1800344623">
    <w:abstractNumId w:val="6"/>
  </w:num>
  <w:num w:numId="23" w16cid:durableId="1745105901">
    <w:abstractNumId w:val="30"/>
  </w:num>
  <w:num w:numId="24" w16cid:durableId="1684628002">
    <w:abstractNumId w:val="23"/>
  </w:num>
  <w:num w:numId="25" w16cid:durableId="254944817">
    <w:abstractNumId w:val="18"/>
  </w:num>
  <w:num w:numId="26" w16cid:durableId="1948266657">
    <w:abstractNumId w:val="16"/>
  </w:num>
  <w:num w:numId="27" w16cid:durableId="1953632851">
    <w:abstractNumId w:val="7"/>
  </w:num>
  <w:num w:numId="28" w16cid:durableId="1219510529">
    <w:abstractNumId w:val="9"/>
  </w:num>
  <w:num w:numId="29" w16cid:durableId="1148472692">
    <w:abstractNumId w:val="28"/>
  </w:num>
  <w:num w:numId="30" w16cid:durableId="1737120019">
    <w:abstractNumId w:val="26"/>
  </w:num>
  <w:num w:numId="31" w16cid:durableId="21054628">
    <w:abstractNumId w:val="29"/>
  </w:num>
  <w:num w:numId="32" w16cid:durableId="1585261529">
    <w:abstractNumId w:val="29"/>
  </w:num>
  <w:num w:numId="33" w16cid:durableId="1657414762">
    <w:abstractNumId w:val="33"/>
  </w:num>
  <w:num w:numId="34" w16cid:durableId="381825683">
    <w:abstractNumId w:val="21"/>
  </w:num>
  <w:num w:numId="35" w16cid:durableId="1715737328">
    <w:abstractNumId w:val="14"/>
  </w:num>
  <w:num w:numId="36" w16cid:durableId="598606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77055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43422873">
    <w:abstractNumId w:val="5"/>
  </w:num>
  <w:num w:numId="39" w16cid:durableId="91780928">
    <w:abstractNumId w:val="14"/>
  </w:num>
  <w:num w:numId="40" w16cid:durableId="342364736">
    <w:abstractNumId w:val="25"/>
  </w:num>
  <w:num w:numId="41" w16cid:durableId="1026441208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Heading2Char">
    <w:name w:val="Heading 2 Char"/>
    <w:link w:val="Heading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Heading4Char">
    <w:name w:val="Heading 4 Char"/>
    <w:link w:val="Heading4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link w:val="Heading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HeaderChar">
    <w:name w:val="Header Char"/>
    <w:link w:val="Header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Normal"/>
    <w:uiPriority w:val="34"/>
    <w:qFormat/>
    <w:rsid w:val="009A6764"/>
    <w:pPr>
      <w:ind w:left="720"/>
      <w:contextualSpacing/>
    </w:pPr>
  </w:style>
  <w:style w:type="paragraph" w:customStyle="1" w:styleId="21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rsid w:val="009A6764"/>
    <w:rPr>
      <w:rFonts w:ascii="Calibri" w:eastAsia="Times New Roman" w:hAnsi="Calibri" w:cs="Times New Roman"/>
    </w:rPr>
  </w:style>
  <w:style w:type="character" w:styleId="Emphasis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Normal"/>
    <w:link w:val="20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0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BodyTextIndent3Char">
    <w:name w:val="Body Text Indent 3 Char"/>
    <w:link w:val="BodyTextIndent3"/>
    <w:uiPriority w:val="99"/>
    <w:locked/>
    <w:rsid w:val="009A6764"/>
    <w:rPr>
      <w:rFonts w:ascii="Calibri" w:eastAsia="Times New Roman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">
    <w:name w:val="_БЛОК_3"/>
    <w:basedOn w:val="Normal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0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0">
    <w:name w:val="_СПИСОК_4 Знак"/>
    <w:basedOn w:val="20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BodyText">
    <w:name w:val="Body Text"/>
    <w:basedOn w:val="Normal"/>
    <w:link w:val="BodyTextChar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BodyTextIndentChar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link w:val="BodyTextIndent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BodyText3Char">
    <w:name w:val="Body Text 3 Char"/>
    <w:link w:val="BodyText3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NormalWeb">
    <w:name w:val="Normal (Web)"/>
    <w:basedOn w:val="Normal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BodyTextIndent2Char">
    <w:name w:val="Body Text Indent 2 Char"/>
    <w:link w:val="BodyTextIndent2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BodyTextIndent2Char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sid w:val="009A6764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FootnoteTextChar">
    <w:name w:val="Footnote Text Char"/>
    <w:link w:val="FootnoteText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DocumentMapChar">
    <w:name w:val="Document Map Char"/>
    <w:link w:val="DocumentMap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Title">
    <w:name w:val="Title"/>
    <w:basedOn w:val="Normal"/>
    <w:link w:val="TitleChar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TitleChar">
    <w:name w:val="Title Char"/>
    <w:link w:val="Title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SubtitleChar">
    <w:name w:val="Subtitle Char"/>
    <w:link w:val="Subtitle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2">
    <w:name w:val="_ЗАГ_2"/>
    <w:basedOn w:val="Normal"/>
    <w:link w:val="23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3">
    <w:name w:val="_ЗАГ_2 Знак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2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3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5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BodyText2"/>
    <w:link w:val="a6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6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359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B3596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4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CommentSubjectChar">
    <w:name w:val="Comment Subject Char"/>
    <w:link w:val="CommentSubject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FollowedHyperlink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PageNumber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TableNormal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7">
    <w:name w:val="Текст_прост"/>
    <w:basedOn w:val="Normal"/>
    <w:link w:val="a8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8">
    <w:name w:val="Текст_прост Знак"/>
    <w:basedOn w:val="DefaultParagraphFont"/>
    <w:link w:val="a7"/>
    <w:rsid w:val="00373513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9">
    <w:name w:val="Прост текст без абз. отсупа"/>
    <w:basedOn w:val="a7"/>
    <w:link w:val="aa"/>
    <w:qFormat/>
    <w:rsid w:val="00373513"/>
    <w:pPr>
      <w:ind w:firstLine="0"/>
    </w:pPr>
  </w:style>
  <w:style w:type="character" w:customStyle="1" w:styleId="aa">
    <w:name w:val="Прост текст без абз. отсупа Знак"/>
    <w:basedOn w:val="a8"/>
    <w:link w:val="a9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4">
    <w:name w:val="Марк_текст"/>
    <w:basedOn w:val="Normal"/>
    <w:link w:val="ab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b">
    <w:name w:val="Марк_текст Знак"/>
    <w:basedOn w:val="DefaultParagraphFont"/>
    <w:link w:val="a4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0">
    <w:name w:val="Нумер1_стил"/>
    <w:basedOn w:val="a4"/>
    <w:link w:val="11"/>
    <w:qFormat/>
    <w:rsid w:val="00817B5E"/>
    <w:pPr>
      <w:numPr>
        <w:numId w:val="0"/>
      </w:numPr>
    </w:pPr>
  </w:style>
  <w:style w:type="character" w:customStyle="1" w:styleId="11">
    <w:name w:val="Нумер1_стил Знак"/>
    <w:basedOn w:val="ab"/>
    <w:link w:val="10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c">
    <w:name w:val="ЗагЛК_ПР_ЛБ_лит"/>
    <w:basedOn w:val="a7"/>
    <w:link w:val="ad"/>
    <w:qFormat/>
    <w:rsid w:val="00125BC3"/>
    <w:pPr>
      <w:keepNext/>
      <w:keepLines/>
      <w:suppressAutoHyphens/>
    </w:pPr>
    <w:rPr>
      <w:b/>
    </w:rPr>
  </w:style>
  <w:style w:type="character" w:customStyle="1" w:styleId="ad">
    <w:name w:val="ЗагЛК_ПР_ЛБ_лит Знак"/>
    <w:basedOn w:val="a8"/>
    <w:link w:val="ac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">
    <w:name w:val="Нумер_Инф"/>
    <w:link w:val="ae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e">
    <w:name w:val="Нумер_Инф Знак"/>
    <w:basedOn w:val="DefaultParagraphFont"/>
    <w:link w:val="a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1">
    <w:name w:val="Нумер_лит"/>
    <w:link w:val="af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">
    <w:name w:val="Нумер_лит Знак"/>
    <w:basedOn w:val="ab"/>
    <w:link w:val="a1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ер_ПО"/>
    <w:link w:val="af0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0">
    <w:name w:val="Нумер_ПО Знак"/>
    <w:basedOn w:val="af"/>
    <w:link w:val="a3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1">
    <w:name w:val="Шапка_табл"/>
    <w:link w:val="af2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2">
    <w:name w:val="Шапка_табл Знак"/>
    <w:basedOn w:val="BodyTextChar"/>
    <w:link w:val="af1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2">
    <w:name w:val="Нум_текст"/>
    <w:basedOn w:val="Normal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Suslicke TEAM</cp:lastModifiedBy>
  <cp:revision>27</cp:revision>
  <cp:lastPrinted>2019-08-16T04:20:00Z</cp:lastPrinted>
  <dcterms:created xsi:type="dcterms:W3CDTF">2022-01-25T17:21:00Z</dcterms:created>
  <dcterms:modified xsi:type="dcterms:W3CDTF">2023-07-28T04:25:00Z</dcterms:modified>
</cp:coreProperties>
</file>