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419"/>
        <w:gridCol w:w="6219"/>
      </w:tblGrid>
      <w:tr>
        <w:trPr>
          <w:trHeight w:val="3969"/>
        </w:trPr>
        <w:tc>
          <w:tcPr>
            <w:cnfStyle w:val="101000000000"/>
            <w:tcW w:w="9638" w:type="dxa"/>
            <w:gridSpan w:val="2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6">
            <w:pPr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00000007">
            <w:pPr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00000008">
            <w:pPr>
              <w:widowControl w:val="on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00000009">
            <w:pPr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0000000A">
            <w:pPr>
              <w:jc w:val="center"/>
              <w:rPr>
                <w:szCs w:val="20"/>
              </w:rPr>
            </w:pPr>
          </w:p>
        </w:tc>
      </w:tr>
      <w:tr>
        <w:trPr/>
        <w:tc>
          <w:tcPr>
            <w:cnfStyle w:val="001000100000"/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0000001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0000000D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>
        <w:trPr/>
        <w:tc>
          <w:tcPr>
            <w:cnfStyle w:val="1010000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0E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0F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0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1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3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4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5">
            <w:pPr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6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30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7">
            <w:r>
              <w:t>2</w:t>
            </w:r>
          </w:p>
        </w:tc>
        <w:tc>
          <w:tcPr>
            <w:cnfStyle w:val="000000010000"/>
            <w:tcW w:w="19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8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11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9">
            <w:r>
              <w:t>4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B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217" w:type="dxa"/>
            <w:gridSpan w:val="6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D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E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F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0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auto"/>
          </w:tcPr>
          <w:p w14:paraId="00000021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2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3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4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5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6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5678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7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8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9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A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B">
            <w:pPr>
              <w:jc w:val="center"/>
              <w:rPr/>
            </w:pPr>
            <w:r>
              <w:t>ОНД</w:t>
            </w:r>
          </w:p>
        </w:tc>
      </w:tr>
    </w:tbl>
    <w:p w14:paraId="0000002C">
      <w:pPr>
        <w:pStyle w:val="Heading1"/>
        <w:rPr/>
        <w:sectPr>
          <w:headerReference w:type="defaul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</w:p>
    <w:p w14:paraId="0000002D">
      <w:pPr>
        <w:pStyle w:val="Heading1"/>
        <w:rPr/>
      </w:pPr>
      <w:r>
        <w:t>Цели практики</w:t>
      </w:r>
    </w:p>
    <w:p w14:paraId="0000002E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34"/>
        <w:gridCol w:w="1395"/>
        <w:gridCol w:w="1518"/>
        <w:gridCol w:w="2205"/>
        <w:gridCol w:w="1243"/>
        <w:gridCol w:w="1930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30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31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32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3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3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3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3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3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техникой экспериментирования с использованием пакетов программ</w:t>
            </w:r>
          </w:p>
        </w:tc>
        <w:tc>
          <w:tcPr>
            <w:cnfStyle w:val="000001010000"/>
            <w:tcW w:w="1245" w:type="dxa"/>
            <w:vAlign w:val="center"/>
          </w:tcPr>
          <w:p w14:paraId="0000003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3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4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техническими приемами работы с программными продуктами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4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4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4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4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4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4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4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сопоставлять полученные экспериментальные данные с реальными условиями производственной деятельности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4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4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4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4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4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4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5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обработки статистических данных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5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5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5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5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5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cnfStyle w:val="000001100000"/>
            <w:tcW w:w="1245" w:type="dxa"/>
            <w:vAlign w:val="center"/>
          </w:tcPr>
          <w:p w14:paraId="0000005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5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5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5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5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6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6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6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6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6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6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6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6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6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6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6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6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0000006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6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cnfStyle w:val="000001010000"/>
            <w:tcW w:w="1245" w:type="dxa"/>
            <w:vAlign w:val="center"/>
          </w:tcPr>
          <w:p w14:paraId="0000006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6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7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7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7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>
        <w:trPr>
          <w:trHeight w:val="4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7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7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7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7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7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8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</w:tbl>
    <w:p w14:paraId="00000081">
      <w:pPr>
        <w:pStyle w:val="Heading1"/>
        <w:rPr/>
      </w:pPr>
      <w:r>
        <w:t>Вид практики, способ, форма и место ее проведения</w:t>
      </w:r>
    </w:p>
    <w:p w14:paraId="00000082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00000083">
      <w:pPr>
        <w:pStyle w:val="Текст_прост"/>
        <w:rPr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0000084">
      <w:pPr>
        <w:pStyle w:val="Текст_прост"/>
        <w:rPr/>
      </w:pPr>
      <w:r>
        <w:rPr>
          <w:b/>
        </w:rPr>
        <w:t>Формы проведения:</w:t>
      </w:r>
      <w:r>
        <w:rPr>
          <w:rStyle w:val="Footnotereference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00000085">
      <w:pPr>
        <w:pStyle w:val="Текст_прост"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Footnotereference"/>
          <w:b/>
          <w:spacing w:val="-4"/>
        </w:rPr>
        <w:t xml:space="preserve"> </w:t>
      </w:r>
    </w:p>
    <w:p w14:paraId="00000086">
      <w:pPr>
        <w:pStyle w:val="Марк_текст"/>
        <w:ind w:left="0" w:firstLine="720"/>
        <w:rPr/>
      </w:pPr>
      <w:r>
        <w:t>Выездная.</w:t>
      </w:r>
    </w:p>
    <w:p w14:paraId="00000087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88">
      <w:pPr>
        <w:pStyle w:val="Марк_текст"/>
        <w:ind w:left="0" w:firstLine="720"/>
        <w:rPr/>
      </w:pPr>
      <w:r>
        <w:t>Структурные подразделения университета.</w:t>
      </w:r>
    </w:p>
    <w:p w14:paraId="00000089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8A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8B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04"/>
        <w:gridCol w:w="7146"/>
        <w:gridCol w:w="1675"/>
      </w:tblGrid>
      <w:tr>
        <w:trPr/>
        <w:tc>
          <w:tcPr>
            <w:cnfStyle w:val="101000000000"/>
            <w:tcW w:w="7961" w:type="dxa"/>
            <w:gridSpan w:val="2"/>
            <w:shd w:val="clear" w:color="auto" w:fill="ededed"/>
            <w:vAlign w:val="center"/>
          </w:tcPr>
          <w:p w14:paraId="0000008C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8" w:type="dxa"/>
            <w:vMerge w:val="restart"/>
            <w:shd w:val="clear" w:color="auto" w:fill="ededed"/>
            <w:vAlign w:val="center"/>
          </w:tcPr>
          <w:p w14:paraId="0000008D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6" w:type="dxa"/>
            <w:shd w:val="clear" w:color="auto" w:fill="ededed"/>
            <w:vAlign w:val="center"/>
          </w:tcPr>
          <w:p w14:paraId="0000008E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5" w:type="dxa"/>
            <w:shd w:val="clear" w:color="auto" w:fill="ededed"/>
            <w:vAlign w:val="center"/>
          </w:tcPr>
          <w:p w14:paraId="0000008F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8" w:type="dxa"/>
            <w:vMerge w:val="continue"/>
            <w:shd w:val="clear" w:color="auto" w:fill="ededed"/>
            <w:vAlign w:val="center"/>
          </w:tcPr>
          <w:p w14:paraId="00000090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9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5" w:type="dxa"/>
            <w:vAlign w:val="center"/>
          </w:tcPr>
          <w:p w14:paraId="00000092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Применять знания об использовании цифровых технологий при поиске данных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9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5" w:type="dxa"/>
            <w:vAlign w:val="center"/>
          </w:tcPr>
          <w:p w14:paraId="0000009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Иметь опыт проведения полевых геодезических и геологических работ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5" w:type="dxa"/>
            <w:vAlign w:val="center"/>
          </w:tcPr>
          <w:p w14:paraId="0000009C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камеральную обработку полученных данных и применять программные комплексы для решения задач в области нефтегазового дела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5" w:type="dxa"/>
            <w:vAlign w:val="center"/>
          </w:tcPr>
          <w:p w14:paraId="000000A1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Иметь опыт проведения расчетов для решения  инженерных задач.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14:paraId="00000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000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И.УК(У)-8.1</w:t>
            </w:r>
          </w:p>
        </w:tc>
      </w:tr>
    </w:tbl>
    <w:p w14:paraId="000000A5">
      <w:pPr>
        <w:pStyle w:val="Heading1"/>
        <w:rPr/>
      </w:pPr>
      <w:r>
        <w:t>Структура и содержание практики</w:t>
      </w:r>
    </w:p>
    <w:p w14:paraId="000000A6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37"/>
        <w:gridCol w:w="7304"/>
        <w:gridCol w:w="1384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0A7">
            <w:pPr>
              <w:pStyle w:val="Шапка_табл"/>
              <w:rPr/>
            </w:pPr>
            <w:r>
              <w:t>№</w:t>
            </w:r>
          </w:p>
          <w:p w14:paraId="000000A8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0A9">
            <w:pPr>
              <w:pStyle w:val="Шапка_табл"/>
              <w:rPr/>
            </w:pPr>
            <w:r>
              <w:t>Этапы практики,</w:t>
            </w:r>
          </w:p>
          <w:p w14:paraId="000000AA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0AB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0AC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0AD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0AE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0AF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0B1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00000B2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прохождение инструктажа по ознакомлению с правилами работы с оборудованием;</w:t>
            </w:r>
          </w:p>
          <w:p w14:paraId="000000B3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получение геофизического и геодезического оборудования и его поверка;</w:t>
            </w:r>
          </w:p>
          <w:p w14:paraId="000000B4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ознакомительные лекции.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0B5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0B6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:</w:t>
            </w:r>
          </w:p>
          <w:p w14:paraId="000000B8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Геологоразведочный: - проведение аэрофотосъемки; создание ортофотоплана и цифровой модели местности; сейсморазведочные работы МОГТ, проведение геофизических  исследований в учебной скважине, интерпретация и камеральная обработка геофизических данных с использованием специализированного программного обеспечения; геологическая съемка по маршруту составление дневника и геологического разреза</w:t>
            </w:r>
          </w:p>
          <w:p w14:paraId="000000B9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Геологический: -составление геологических маршрутов на объектах с различными условиями осадконакопления; описание геологических обнажений, геологических явлений и процессов; составление геологических разрезов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0BA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0BB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0BC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:</w:t>
            </w:r>
          </w:p>
          <w:p w14:paraId="000000BE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oil-case: - оценка геологических неопределенностей месторождения аналога и подсчет запасов объемным методом, корреляция данным по скважинам и построение поверхности кровли и подошвы продуктивных пластов, построение нескольких схем разработки месторождения и расчет профилей добычи, проектирование системы поверхностного обустройства месторождения</w:t>
            </w:r>
          </w:p>
          <w:p w14:paraId="000000BF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специализация:  - составление плана проведения работ, сбор номенклатуры материалов и выполнение подготовительных этапов для сборки выбранного технического объекта или выбранного экспериментального исследования процесса; проведение испытаний работоспособности объекта или оценка результатов экспериментального исследования процесса; -расчет полученных параметров.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0C0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0C1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0C2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000000C4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-подготовка отчета по практике с использованием специализированного программного обеспечения; подготовка презентации с использованием программного обеспечения; защита отчета по практике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0C5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0C6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0C7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000000C8">
      <w:pPr>
        <w:pStyle w:val="Heading1"/>
        <w:numPr>
          <w:ilvl w:val="0"/>
          <w:numId w:val="31"/>
        </w:numPr>
        <w:ind w:left="0" w:firstLine="0"/>
        <w:rPr/>
      </w:pPr>
      <w:r>
        <w:t>Учебно-методическое и информационное обеспечение практики</w:t>
      </w:r>
    </w:p>
    <w:p w14:paraId="000000C9">
      <w:pPr>
        <w:pStyle w:val="Heading2"/>
        <w:rPr/>
      </w:pPr>
      <w:r>
        <w:t>Учебно-методическое обеспечение</w:t>
      </w:r>
    </w:p>
    <w:p w14:paraId="000000CA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0CB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Дьяков, Б. Н. Геодезия : учебник / Б. Н. Дьяков2-е изд., испр. — Санкт-Петербург : Лань, 2019. — 416 с. : ил. — (Учебники для вузов. Специальная литература). –</w:t>
      </w:r>
    </w:p>
    <w:p w14:paraId="000000CC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Короновский, Н.В. Общая геология : Учебник / Московский государственный университет им. М.В. Ломоносова2. — Москва : ООО "Научно-издательский центр ИНФРА-М", 2024. — 474 с. — (Высшее образование). — Профессиональное образование.. – URL: https://znanium.com/catalog/document?id=431188</w:t>
      </w:r>
    </w:p>
    <w:p w14:paraId="000000CD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Короновский, Н. В. Геология : учебник в электронном формате / Н. В. Короновский, Н. А. Ясаманов9-е изд., стер. — Москва : Академия, 2014. — 1 Мультимедиа CD-ROM. — (Высшее профессиональное образование. Бакалавриат). — Режим доступа: из корпоративной сети ТПУ.. – URL: http://www.lib.tpu.ru/fulltext2/m/2014/FN/fn-108.pdf</w:t>
      </w:r>
    </w:p>
    <w:p w14:paraId="000000CE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Лурье, М. В. Трубопроводный транспорт нефти и нефтепродуктов  : справочно-информационное пособие с математическим приложением / М. В. ЛурьеМосква : Транснефть-Медиа, 2016. — 176 с. : ил.. –</w:t>
      </w:r>
    </w:p>
    <w:p w14:paraId="000000CF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0D0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Купреева, Е. Н. Геодезия : учебное пособие / Купреева Е. Н., Курячая Е. А.Омск : Омский ГАУ, 2018. — 118 с. — Книга из коллекции Омский ГАУ - Инженерно-технические науки.. – URL: https://e.lanbook.com/book/105590</w:t>
      </w:r>
    </w:p>
    <w:p w14:paraId="000000D1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Шумаев, К. Н. Геодезия. Учебная практика по инженерной геодезии : методические указания / Шумаев К. Н., Сафонов А. Я.Красноярск : КрасГАУ, 2010. — 44 с. — Книга из коллекции КрасГАУ - Инженерно-технические науки.. – URL: https://e.lanbook.com/book/103813</w:t>
      </w:r>
    </w:p>
    <w:p w14:paraId="000000D2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Нефтегазопромысловая геология и гидрогеология : учебное пособие для вузов / В. Г. Каналин [и др.]2-е изд., перераб. и доп. — Москва : Недра-Бизнесцентр, 2006. — 372 с. : ил. — (Высшее образование). –</w:t>
      </w:r>
    </w:p>
    <w:p w14:paraId="000000D3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Словарь терминов по общей геологии : учебное пособие / Национальный исследовательский Томский политехнический университет (ТПУ); сост. М. И. Шаминова, А. Ю. ФалькТомск : Изд-во ТПУ, 2014. — Режим доступа: из корпоративной сети ТПУ.. – URL: http://www.lib.tpu.ru/fulltext2/m/2016/m064.pdf</w:t>
      </w:r>
    </w:p>
    <w:p w14:paraId="000000D4">
      <w:pPr>
        <w:pStyle w:val="Heading2"/>
        <w:rPr/>
      </w:pPr>
      <w:r>
        <w:t>Информационное и программное обеспечение</w:t>
      </w:r>
    </w:p>
    <w:p w14:paraId="000000D5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0D6">
      <w:pPr>
        <w:pStyle w:val="Текст_прост"/>
        <w:rPr/>
      </w:pPr>
    </w:p>
    <w:p w14:paraId="000000D7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  <w:color w:val="auto"/>
        </w:rPr>
        <w:fldChar w:fldCharType="begin"/>
      </w:r>
      <w:r>
        <w:rPr>
          <w:rStyle w:val="Hyperlink"/>
          <w:color w:val="auto"/>
        </w:rPr>
        <w:instrText xml:space="preserve">HYPERLINK "https://www.lib.tpu.ru/html/irs-and-pdb" </w:instrText>
      </w:r>
      <w:r>
        <w:rPr>
          <w:rStyle w:val="Hyperlink"/>
          <w:color w:val="auto"/>
        </w:rPr>
        <w:fldChar w:fldCharType="separate"/>
      </w:r>
      <w:r>
        <w:rPr>
          <w:rStyle w:val="Hyperlink"/>
          <w:color w:val="auto"/>
        </w:rPr>
        <w:t>https://www.lib.tpu.ru/html/irs-and-pdb</w:t>
      </w:r>
      <w:r>
        <w:fldChar w:fldCharType="end"/>
      </w:r>
      <w:r>
        <w:t xml:space="preserve"> </w:t>
      </w:r>
    </w:p>
    <w:p w14:paraId="000000D8">
      <w:pPr>
        <w:pStyle w:val="Текст_прост"/>
        <w:rPr>
          <w:rFonts w:eastAsia="Cambria"/>
        </w:rPr>
      </w:pPr>
    </w:p>
    <w:p w14:paraId="000000D9">
      <w:pPr>
        <w:pStyle w:val="Текст_прост"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0DA">
      <w:pPr>
        <w:pStyle w:val="Нумер_ПО"/>
        <w:jc w:val="both"/>
        <w:rPr/>
      </w:pPr>
      <w:r>
        <w:t>Google Chrome;</w:t>
      </w:r>
    </w:p>
    <w:p w14:paraId="000000DB">
      <w:pPr>
        <w:pStyle w:val="Нумер_ПО"/>
        <w:jc w:val="both"/>
        <w:rPr/>
      </w:pPr>
      <w:r>
        <w:t>Tracker Software PDF-XChange Viewer;</w:t>
      </w:r>
    </w:p>
    <w:p w14:paraId="000000DC">
      <w:pPr>
        <w:pStyle w:val="Нумер_ПО"/>
        <w:jc w:val="both"/>
        <w:rPr/>
      </w:pPr>
      <w:r>
        <w:t>7-Zip;</w:t>
      </w:r>
    </w:p>
    <w:p w14:paraId="000000DD">
      <w:pPr>
        <w:pStyle w:val="Нумер_ПО"/>
        <w:jc w:val="both"/>
        <w:rPr/>
      </w:pPr>
      <w:r>
        <w:t>Adobe Acrobat Reader DC;</w:t>
      </w:r>
    </w:p>
    <w:p w14:paraId="000000DE">
      <w:pPr>
        <w:pStyle w:val="Нумер_ПО"/>
        <w:jc w:val="both"/>
        <w:rPr/>
      </w:pPr>
      <w:r>
        <w:t>WinDjView;</w:t>
      </w:r>
    </w:p>
    <w:p w14:paraId="000000DF">
      <w:pPr>
        <w:pStyle w:val="Нумер_ПО"/>
        <w:jc w:val="both"/>
        <w:rPr/>
      </w:pPr>
      <w:r>
        <w:t>AkelPad;</w:t>
      </w:r>
    </w:p>
    <w:p w14:paraId="000000E0">
      <w:pPr>
        <w:pStyle w:val="Нумер_ПО"/>
        <w:jc w:val="both"/>
        <w:rPr/>
      </w:pPr>
      <w:r>
        <w:t>Microsoft Office 2007 Standard Russian Academic;</w:t>
      </w:r>
    </w:p>
    <w:p w14:paraId="000000E1">
      <w:pPr>
        <w:pStyle w:val="Нумер_ПО"/>
        <w:jc w:val="both"/>
        <w:rPr/>
      </w:pPr>
      <w:r>
        <w:t>Microsoft Skype for Desktop;</w:t>
      </w:r>
    </w:p>
    <w:p w14:paraId="000000E2">
      <w:pPr>
        <w:pStyle w:val="Нумер_ПО"/>
        <w:jc w:val="both"/>
        <w:rPr/>
      </w:pPr>
      <w:r>
        <w:t>Mozilla Firefox ESR;</w:t>
      </w:r>
    </w:p>
    <w:p w14:paraId="000000E3">
      <w:pPr>
        <w:pStyle w:val="Нумер_ПО"/>
        <w:jc w:val="both"/>
        <w:rPr/>
      </w:pPr>
      <w:r>
        <w:t>OEF OpenBoard;</w:t>
      </w:r>
    </w:p>
    <w:p w14:paraId="000000E4">
      <w:pPr>
        <w:pStyle w:val="Нумер_ПО"/>
        <w:jc w:val="both"/>
        <w:rPr/>
      </w:pPr>
      <w:r>
        <w:t>Kaspersky Endpoint Security;</w:t>
      </w:r>
    </w:p>
    <w:p w14:paraId="000000E5">
      <w:pPr>
        <w:pStyle w:val="Нумер_ПО"/>
        <w:jc w:val="both"/>
        <w:rPr/>
      </w:pPr>
      <w:r>
        <w:t>Zoom Zoom;</w:t>
      </w:r>
    </w:p>
    <w:p w14:paraId="000000E6">
      <w:pPr>
        <w:pStyle w:val="Нумер_ПО"/>
        <w:jc w:val="both"/>
        <w:rPr/>
      </w:pPr>
      <w:r>
        <w:t>Document Foundation LibreOffice.</w:t>
      </w:r>
    </w:p>
    <w:sectPr>
      <w:headerReference w:type="default" r:id="rId17"/>
      <w:footerReference w:type="default" r:id="rId18"/>
      <w:pgSz w:w="11905" w:h="16837"/>
      <w:pgMar w:top="1134" w:right="1134" w:bottom="1134" w:left="1134" w:header="454" w:footer="680" w:gutter="0"/>
      <w:pgNumType w:start="2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decorative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E9">
    <w:pPr>
      <w:pStyle w:val="PlainText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00000EA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EB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EC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E7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E8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numPr>
        <w:ilvl w:val="0"/>
        <w:numId w:val="32"/>
      </w:numPr>
      <w:tabs>
        <w:tab w:val="left" w:pos="284"/>
      </w:tabs>
      <w:spacing w:before="120" w:after="120"/>
      <w:ind w:left="0" w:firstLine="0"/>
      <w:jc w:val="center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2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2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2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3"/>
      </w:numPr>
      <w:tabs>
        <w:tab w:val="left" w:pos="992"/>
      </w:tabs>
      <w:spacing w:after="1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39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1"/>
      </w:numPr>
      <w:tabs>
        <w:tab w:val="left" w:pos="1276"/>
      </w:tabs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