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F7095" w14:textId="77777777" w:rsidR="00892C52" w:rsidRPr="00F926FD" w:rsidRDefault="00892C52" w:rsidP="00892C52">
      <w:pPr>
        <w:tabs>
          <w:tab w:val="left" w:pos="6237"/>
        </w:tabs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F926FD">
        <w:rPr>
          <w:rFonts w:ascii="Arial" w:eastAsia="Calibri" w:hAnsi="Arial" w:cs="Arial"/>
          <w:sz w:val="20"/>
          <w:szCs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696EE89B" w14:textId="77777777" w:rsidR="00892C52" w:rsidRPr="00F926FD" w:rsidRDefault="00892C52" w:rsidP="00892C52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F926FD">
        <w:rPr>
          <w:rFonts w:ascii="Arial" w:eastAsia="Calibri" w:hAnsi="Arial" w:cs="Arial"/>
          <w:sz w:val="20"/>
          <w:szCs w:val="20"/>
        </w:rPr>
        <w:t>«Национальный исследовательский Томский политехнический университет»</w:t>
      </w:r>
    </w:p>
    <w:p w14:paraId="5EDE727A" w14:textId="77777777" w:rsidR="00892C52" w:rsidRPr="00F926FD" w:rsidRDefault="00892C52" w:rsidP="00892C52">
      <w:pPr>
        <w:pStyle w:val="1"/>
        <w:rPr>
          <w:rFonts w:ascii="Arial" w:hAnsi="Arial" w:cs="Arial"/>
          <w:sz w:val="20"/>
          <w:szCs w:val="20"/>
        </w:rPr>
      </w:pPr>
      <w:r w:rsidRPr="00F926FD">
        <w:rPr>
          <w:rFonts w:ascii="Arial" w:hAnsi="Arial" w:cs="Arial"/>
          <w:sz w:val="20"/>
          <w:szCs w:val="20"/>
        </w:rPr>
        <w:t>Справка</w:t>
      </w:r>
      <w:bookmarkStart w:id="0" w:name="_GoBack"/>
      <w:bookmarkEnd w:id="0"/>
    </w:p>
    <w:p w14:paraId="16DA88F1" w14:textId="77777777" w:rsidR="00892C52" w:rsidRPr="00F926FD" w:rsidRDefault="00892C52" w:rsidP="00892C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26FD">
        <w:rPr>
          <w:rFonts w:ascii="Arial" w:hAnsi="Arial" w:cs="Arial"/>
          <w:sz w:val="20"/>
          <w:szCs w:val="20"/>
        </w:rPr>
        <w:t xml:space="preserve">о научном руководителе аспиранта, обучающегося по программе подготовки </w:t>
      </w:r>
    </w:p>
    <w:p w14:paraId="58C43820" w14:textId="77777777" w:rsidR="00E9110B" w:rsidRPr="00F926FD" w:rsidRDefault="00892C52" w:rsidP="00892C52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F926FD">
        <w:rPr>
          <w:rFonts w:ascii="Arial" w:hAnsi="Arial" w:cs="Arial"/>
          <w:sz w:val="20"/>
          <w:szCs w:val="20"/>
        </w:rPr>
        <w:t xml:space="preserve">научных и научно-педагогических кадров в аспирантуре </w:t>
      </w:r>
      <w:r w:rsidRPr="00F926FD">
        <w:rPr>
          <w:rFonts w:ascii="Arial" w:eastAsia="Calibri" w:hAnsi="Arial" w:cs="Arial"/>
          <w:sz w:val="20"/>
          <w:szCs w:val="20"/>
        </w:rPr>
        <w:t xml:space="preserve">по специальности </w:t>
      </w:r>
    </w:p>
    <w:p w14:paraId="7AAA14C3" w14:textId="77777777" w:rsidR="00892C52" w:rsidRPr="00F926FD" w:rsidRDefault="00E9110B" w:rsidP="00892C5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926FD">
        <w:rPr>
          <w:rFonts w:ascii="Arial" w:eastAsia="Calibri" w:hAnsi="Arial" w:cs="Arial"/>
          <w:b/>
          <w:sz w:val="20"/>
          <w:szCs w:val="20"/>
        </w:rPr>
        <w:t>1.6.11 Геология, поиски, разведка и эксплуатация нефтяных и газовых месторождений</w:t>
      </w:r>
    </w:p>
    <w:p w14:paraId="69EB87AE" w14:textId="3E6B9553" w:rsidR="00E9110B" w:rsidRPr="00F926FD" w:rsidRDefault="00E9110B" w:rsidP="00892C5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328"/>
        <w:gridCol w:w="1646"/>
        <w:gridCol w:w="1520"/>
        <w:gridCol w:w="1389"/>
        <w:gridCol w:w="2451"/>
        <w:gridCol w:w="4542"/>
        <w:gridCol w:w="3292"/>
      </w:tblGrid>
      <w:tr w:rsidR="00E05FBC" w:rsidRPr="00F926FD" w14:paraId="363BFCC7" w14:textId="77777777" w:rsidTr="00E05FBC">
        <w:trPr>
          <w:trHeight w:val="1240"/>
        </w:trPr>
        <w:tc>
          <w:tcPr>
            <w:tcW w:w="315" w:type="dxa"/>
          </w:tcPr>
          <w:p w14:paraId="0BC10E62" w14:textId="77777777" w:rsidR="00892C52" w:rsidRPr="00F926FD" w:rsidRDefault="00892C52" w:rsidP="00A05E3D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№ п\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12" w:type="dxa"/>
          </w:tcPr>
          <w:p w14:paraId="085175DC" w14:textId="77777777" w:rsidR="00892C52" w:rsidRPr="00F926FD" w:rsidRDefault="00892C52" w:rsidP="00A05E3D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Ф.И.О. научн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го рук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водителя аспирантов</w:t>
            </w:r>
          </w:p>
        </w:tc>
        <w:tc>
          <w:tcPr>
            <w:tcW w:w="1540" w:type="dxa"/>
          </w:tcPr>
          <w:p w14:paraId="38232B80" w14:textId="77777777" w:rsidR="00892C52" w:rsidRPr="00F926FD" w:rsidRDefault="00892C52" w:rsidP="00A05E3D">
            <w:pPr>
              <w:pStyle w:val="a4"/>
              <w:ind w:left="-142" w:right="-66" w:firstLine="31"/>
              <w:rPr>
                <w:rFonts w:ascii="Arial" w:hAnsi="Arial" w:cs="Arial"/>
              </w:rPr>
            </w:pPr>
            <w:r w:rsidRPr="00F926FD">
              <w:rPr>
                <w:rFonts w:ascii="Arial" w:hAnsi="Arial" w:cs="Arial"/>
              </w:rPr>
              <w:t>Условия пр</w:t>
            </w:r>
            <w:r w:rsidRPr="00F926FD">
              <w:rPr>
                <w:rFonts w:ascii="Arial" w:hAnsi="Arial" w:cs="Arial"/>
              </w:rPr>
              <w:t>и</w:t>
            </w:r>
            <w:r w:rsidRPr="00F926FD">
              <w:rPr>
                <w:rFonts w:ascii="Arial" w:hAnsi="Arial" w:cs="Arial"/>
              </w:rPr>
              <w:t>влечения (о</w:t>
            </w:r>
            <w:r w:rsidRPr="00F926FD">
              <w:rPr>
                <w:rFonts w:ascii="Arial" w:hAnsi="Arial" w:cs="Arial"/>
              </w:rPr>
              <w:t>с</w:t>
            </w:r>
            <w:r w:rsidRPr="00F926FD">
              <w:rPr>
                <w:rFonts w:ascii="Arial" w:hAnsi="Arial" w:cs="Arial"/>
              </w:rPr>
              <w:t>новное место работы: шта</w:t>
            </w:r>
            <w:r w:rsidRPr="00F926FD">
              <w:rPr>
                <w:rFonts w:ascii="Arial" w:hAnsi="Arial" w:cs="Arial"/>
              </w:rPr>
              <w:t>т</w:t>
            </w:r>
            <w:r w:rsidRPr="00F926FD">
              <w:rPr>
                <w:rFonts w:ascii="Arial" w:hAnsi="Arial" w:cs="Arial"/>
              </w:rPr>
              <w:t>ный, внутре</w:t>
            </w:r>
            <w:r w:rsidRPr="00F926FD">
              <w:rPr>
                <w:rFonts w:ascii="Arial" w:hAnsi="Arial" w:cs="Arial"/>
              </w:rPr>
              <w:t>н</w:t>
            </w:r>
            <w:r w:rsidRPr="00F926FD">
              <w:rPr>
                <w:rFonts w:ascii="Arial" w:hAnsi="Arial" w:cs="Arial"/>
              </w:rPr>
              <w:t>ний совмест</w:t>
            </w:r>
            <w:r w:rsidRPr="00F926FD">
              <w:rPr>
                <w:rFonts w:ascii="Arial" w:hAnsi="Arial" w:cs="Arial"/>
              </w:rPr>
              <w:t>и</w:t>
            </w:r>
            <w:r w:rsidRPr="00F926FD">
              <w:rPr>
                <w:rFonts w:ascii="Arial" w:hAnsi="Arial" w:cs="Arial"/>
              </w:rPr>
              <w:t>тель, внешний совмест</w:t>
            </w:r>
            <w:r w:rsidRPr="00F926FD">
              <w:rPr>
                <w:rFonts w:ascii="Arial" w:hAnsi="Arial" w:cs="Arial"/>
              </w:rPr>
              <w:t>и</w:t>
            </w:r>
            <w:r w:rsidRPr="00F926FD">
              <w:rPr>
                <w:rFonts w:ascii="Arial" w:hAnsi="Arial" w:cs="Arial"/>
              </w:rPr>
              <w:t>тель;</w:t>
            </w:r>
          </w:p>
          <w:p w14:paraId="38489847" w14:textId="77777777" w:rsidR="00892C52" w:rsidRPr="00F926FD" w:rsidRDefault="00892C52" w:rsidP="00A05E3D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по договору ГПХ)</w:t>
            </w:r>
          </w:p>
        </w:tc>
        <w:tc>
          <w:tcPr>
            <w:tcW w:w="1579" w:type="dxa"/>
          </w:tcPr>
          <w:p w14:paraId="5406C045" w14:textId="77777777" w:rsidR="00892C52" w:rsidRPr="00F926FD" w:rsidRDefault="00892C52" w:rsidP="00A05E3D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Ученая ст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пень,</w:t>
            </w:r>
          </w:p>
          <w:p w14:paraId="220B0729" w14:textId="77777777" w:rsidR="00892C52" w:rsidRPr="00F926FD" w:rsidRDefault="00892C52" w:rsidP="00A05E3D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ученое зв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ние</w:t>
            </w:r>
          </w:p>
          <w:p w14:paraId="1C1E7F8C" w14:textId="2A72943C" w:rsidR="00892C52" w:rsidRPr="00F926FD" w:rsidRDefault="00892C52" w:rsidP="00C81823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0FD48E" w14:textId="77777777" w:rsidR="00892C52" w:rsidRPr="00F926FD" w:rsidRDefault="00892C52" w:rsidP="00A05E3D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Тематика самостоятел</w:t>
            </w:r>
            <w:r w:rsidRPr="00F926FD">
              <w:rPr>
                <w:rFonts w:ascii="Arial" w:hAnsi="Arial" w:cs="Arial"/>
                <w:sz w:val="20"/>
                <w:szCs w:val="20"/>
              </w:rPr>
              <w:t>ь</w:t>
            </w:r>
            <w:r w:rsidRPr="00F926FD">
              <w:rPr>
                <w:rFonts w:ascii="Arial" w:hAnsi="Arial" w:cs="Arial"/>
                <w:sz w:val="20"/>
                <w:szCs w:val="20"/>
              </w:rPr>
              <w:t>ной научно-исследовательской (творческой) деятельн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сти (участие в осущест</w:t>
            </w:r>
            <w:r w:rsidRPr="00F926FD">
              <w:rPr>
                <w:rFonts w:ascii="Arial" w:hAnsi="Arial" w:cs="Arial"/>
                <w:sz w:val="20"/>
                <w:szCs w:val="20"/>
              </w:rPr>
              <w:t>в</w:t>
            </w:r>
            <w:r w:rsidRPr="00F926FD">
              <w:rPr>
                <w:rFonts w:ascii="Arial" w:hAnsi="Arial" w:cs="Arial"/>
                <w:sz w:val="20"/>
                <w:szCs w:val="20"/>
              </w:rPr>
              <w:t>лении такой деятельн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сти), в том числе по пр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граммам, гра</w:t>
            </w:r>
            <w:r w:rsidRPr="00F926FD">
              <w:rPr>
                <w:rFonts w:ascii="Arial" w:hAnsi="Arial" w:cs="Arial"/>
                <w:sz w:val="20"/>
                <w:szCs w:val="20"/>
              </w:rPr>
              <w:t>н</w:t>
            </w:r>
            <w:r w:rsidRPr="00F926FD">
              <w:rPr>
                <w:rFonts w:ascii="Arial" w:hAnsi="Arial" w:cs="Arial"/>
                <w:sz w:val="20"/>
                <w:szCs w:val="20"/>
              </w:rPr>
              <w:t>там, х/д (наименование и рекв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зиты)</w:t>
            </w:r>
          </w:p>
        </w:tc>
        <w:tc>
          <w:tcPr>
            <w:tcW w:w="3685" w:type="dxa"/>
          </w:tcPr>
          <w:p w14:paraId="4F5A3C5A" w14:textId="77777777" w:rsidR="00892C52" w:rsidRPr="00F926FD" w:rsidRDefault="00892C52" w:rsidP="00A05E3D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Публикации в ведущих отечественных и зар</w:t>
            </w:r>
            <w:r w:rsidRPr="00F926FD">
              <w:rPr>
                <w:rFonts w:ascii="Arial" w:hAnsi="Arial" w:cs="Arial"/>
                <w:sz w:val="20"/>
                <w:szCs w:val="20"/>
              </w:rPr>
              <w:t>у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бежных рецензируемых научных журналах и изданиях 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>за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 xml:space="preserve"> последние 3 года</w:t>
            </w:r>
          </w:p>
          <w:p w14:paraId="53CA30B2" w14:textId="77777777" w:rsidR="00892C52" w:rsidRPr="00F926FD" w:rsidRDefault="00892C52" w:rsidP="00A05E3D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BAFB01" w14:textId="77777777" w:rsidR="00892C52" w:rsidRPr="00F926FD" w:rsidRDefault="00892C52" w:rsidP="00A05E3D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Апробация результатов научно-исследовательской (творческой) деятельн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сти на национальных и международных конференциях, с указанием темы статьи (темы доклада) 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>за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 xml:space="preserve"> последние 3 года</w:t>
            </w:r>
          </w:p>
        </w:tc>
      </w:tr>
      <w:tr w:rsidR="002A692E" w:rsidRPr="00F926FD" w14:paraId="49ACF329" w14:textId="77777777" w:rsidTr="00867542">
        <w:tc>
          <w:tcPr>
            <w:tcW w:w="315" w:type="dxa"/>
          </w:tcPr>
          <w:p w14:paraId="193D43BC" w14:textId="161224B3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3CE81BA4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 xml:space="preserve">Белозеров </w:t>
            </w:r>
          </w:p>
          <w:p w14:paraId="5E5C53B2" w14:textId="2F79328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Владимир Б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рис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вич </w:t>
            </w:r>
          </w:p>
        </w:tc>
        <w:tc>
          <w:tcPr>
            <w:tcW w:w="1540" w:type="dxa"/>
          </w:tcPr>
          <w:p w14:paraId="1703A9AF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штатный</w:t>
            </w:r>
          </w:p>
        </w:tc>
        <w:tc>
          <w:tcPr>
            <w:tcW w:w="1579" w:type="dxa"/>
          </w:tcPr>
          <w:p w14:paraId="02916623" w14:textId="77777777" w:rsidR="002A692E" w:rsidRPr="00F926FD" w:rsidRDefault="002A692E" w:rsidP="0086754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д.г.-</w:t>
            </w:r>
            <w:proofErr w:type="spellStart"/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м.н</w:t>
            </w:r>
            <w:proofErr w:type="spellEnd"/>
            <w:r w:rsidRPr="00F926FD">
              <w:rPr>
                <w:rFonts w:ascii="Arial" w:eastAsia="Times New Roman" w:hAnsi="Arial" w:cs="Arial"/>
                <w:sz w:val="20"/>
                <w:szCs w:val="20"/>
              </w:rPr>
              <w:t xml:space="preserve">., </w:t>
            </w:r>
          </w:p>
          <w:p w14:paraId="1F07EBBD" w14:textId="77777777" w:rsidR="002A692E" w:rsidRPr="00F926FD" w:rsidRDefault="002A692E" w:rsidP="0086754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ученое зв</w:t>
            </w: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ние</w:t>
            </w:r>
            <w:proofErr w:type="gramStart"/>
            <w:r w:rsidRPr="00F926FD">
              <w:rPr>
                <w:rFonts w:ascii="Arial" w:eastAsia="Times New Roman" w:hAnsi="Arial" w:cs="Arial"/>
                <w:sz w:val="20"/>
                <w:szCs w:val="20"/>
              </w:rPr>
              <w:t xml:space="preserve"> -, </w:t>
            </w:r>
            <w:proofErr w:type="gramEnd"/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дол</w:t>
            </w: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ж</w:t>
            </w: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ность пр</w:t>
            </w: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фессор</w:t>
            </w:r>
          </w:p>
          <w:p w14:paraId="0DEB6CC9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7D413A" w14:textId="393C2609" w:rsidR="00FD0A86" w:rsidRPr="00F926FD" w:rsidRDefault="00FD0A86" w:rsidP="00FD0A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В рамках направл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ния научных иссл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дований ТПУ. </w:t>
            </w:r>
          </w:p>
          <w:p w14:paraId="2AA99E59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AA3445" w14:textId="77777777" w:rsidR="00FD0A86" w:rsidRPr="00F926FD" w:rsidRDefault="00FD0A86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Двухмерное сейсм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геологическое модел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рование и фац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альный анализ пр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дуктивных толщ с целью повыш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ния эффективности геологоразведочных р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бот на нефть и газ</w:t>
            </w:r>
          </w:p>
          <w:p w14:paraId="35A43D25" w14:textId="77777777" w:rsidR="00FD0A86" w:rsidRPr="00F926FD" w:rsidRDefault="00FD0A86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03212B" w14:textId="77777777" w:rsidR="00FD0A86" w:rsidRPr="00F926FD" w:rsidRDefault="00FD0A86" w:rsidP="00FD0A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Договор «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Газпро</w:t>
            </w:r>
            <w:r w:rsidRPr="00F926FD">
              <w:rPr>
                <w:rFonts w:ascii="Arial" w:hAnsi="Arial" w:cs="Arial"/>
                <w:sz w:val="20"/>
                <w:szCs w:val="20"/>
              </w:rPr>
              <w:t>м</w:t>
            </w:r>
            <w:r w:rsidRPr="00F926FD">
              <w:rPr>
                <w:rFonts w:ascii="Arial" w:hAnsi="Arial" w:cs="Arial"/>
                <w:sz w:val="20"/>
                <w:szCs w:val="20"/>
              </w:rPr>
              <w:t>нефть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>-НТЦ» «Форм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рование концепции геологии по пр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екту захоронения СО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26FD">
              <w:rPr>
                <w:rFonts w:ascii="Arial" w:hAnsi="Arial" w:cs="Arial"/>
                <w:sz w:val="20"/>
                <w:szCs w:val="20"/>
              </w:rPr>
              <w:br/>
              <w:t>на о. Сахалин» (2023)</w:t>
            </w:r>
          </w:p>
          <w:p w14:paraId="1BB90B33" w14:textId="482C7C52" w:rsidR="00FD0A86" w:rsidRPr="00F926FD" w:rsidRDefault="00FD0A86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4DF0500" w14:textId="77777777" w:rsidR="002A692E" w:rsidRPr="00F926FD" w:rsidRDefault="00EA4040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Белозёров В.Б. Структурно-литологические л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вушки нефти и газа в отложениях верхней юры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Средневасюганского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мегавала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// Изв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стия Томского политехнического университ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та. Инжин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ринг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георесурсов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>. – 2023. – Т. 334. – №9. – С. 137-145.</w:t>
            </w:r>
          </w:p>
          <w:p w14:paraId="6ACF951C" w14:textId="77777777" w:rsidR="00EA4040" w:rsidRPr="00F926FD" w:rsidRDefault="00EA4040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B20C95" w14:textId="77777777" w:rsidR="00FD0A86" w:rsidRPr="00F926FD" w:rsidRDefault="00FD0A86" w:rsidP="00FD0A86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S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Garcia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L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Krasnoshchekova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Irfan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Sha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ban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Asaad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B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Belozerov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Ali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Ismail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Al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Juboury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Do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l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omitization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in the Upper Paleozoic succession of the north-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Ostaninsk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field,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Nyurolsk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Basin, Western Siberia: Implications for hydr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o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carbon exploration. Marine and Petroleum Geo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l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ogy, 2023. V.152. </w:t>
            </w:r>
            <w:hyperlink r:id="rId6" w:history="1">
              <w:r w:rsidRPr="00F926FD">
                <w:rPr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https://doi.org/10.1016/j.marpetgeo.2023.106217</w:t>
              </w:r>
            </w:hyperlink>
          </w:p>
          <w:p w14:paraId="28792C37" w14:textId="77777777" w:rsidR="00FD0A86" w:rsidRPr="00F926FD" w:rsidRDefault="00FD0A86" w:rsidP="0086754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A1F147" w14:textId="77777777" w:rsidR="00FD0A86" w:rsidRPr="00F926FD" w:rsidRDefault="00FD0A86" w:rsidP="0086754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3F67923" w14:textId="04F9947C" w:rsidR="00EA4040" w:rsidRPr="00F926FD" w:rsidRDefault="00EA4040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Белозёров В. Б., Бобров А. В. Роль сейсм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геологического анализа в оценке нефтегаз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носности отложений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келловей-оксфорда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юго-восточной части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Каймысовского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сводА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//Нефтегазовая ге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логия. Теория и практика. </w:t>
            </w:r>
            <w:r w:rsidRPr="00F926FD">
              <w:rPr>
                <w:rFonts w:ascii="Arial" w:hAnsi="Arial" w:cs="Arial"/>
                <w:sz w:val="20"/>
                <w:szCs w:val="20"/>
              </w:rPr>
              <w:lastRenderedPageBreak/>
              <w:t xml:space="preserve">– 2022. – Т. 17. – №. 1. – - </w:t>
            </w:r>
            <w:hyperlink r:id="rId7" w:history="1">
              <w:r w:rsidRPr="00F926FD">
                <w:rPr>
                  <w:rFonts w:ascii="Arial" w:hAnsi="Arial" w:cs="Arial"/>
                  <w:sz w:val="20"/>
                  <w:szCs w:val="20"/>
                </w:rPr>
                <w:t>http://www.ngtp.ru/rub/2022/3_2022.html</w:t>
              </w:r>
            </w:hyperlink>
          </w:p>
          <w:p w14:paraId="32A9085C" w14:textId="77777777" w:rsidR="00EA4040" w:rsidRPr="00F926FD" w:rsidRDefault="00EA4040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B27430" w14:textId="22D411F5" w:rsidR="00EA4040" w:rsidRPr="00F926FD" w:rsidRDefault="00EA4040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 xml:space="preserve">Белозёров В. Б.,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Силкин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Г. Е. Критерии пер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оценки перспектив нефтегазоносности ко</w:t>
            </w:r>
            <w:r w:rsidRPr="00F926FD">
              <w:rPr>
                <w:rFonts w:ascii="Arial" w:hAnsi="Arial" w:cs="Arial"/>
                <w:sz w:val="20"/>
                <w:szCs w:val="20"/>
              </w:rPr>
              <w:t>л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лекторных зон 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>фундамента юго-востока З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падной Сибири //Известия Томского полите</w:t>
            </w:r>
            <w:r w:rsidRPr="00F926FD">
              <w:rPr>
                <w:rFonts w:ascii="Arial" w:hAnsi="Arial" w:cs="Arial"/>
                <w:sz w:val="20"/>
                <w:szCs w:val="20"/>
              </w:rPr>
              <w:t>х</w:t>
            </w:r>
            <w:r w:rsidRPr="00F926FD">
              <w:rPr>
                <w:rFonts w:ascii="Arial" w:hAnsi="Arial" w:cs="Arial"/>
                <w:sz w:val="20"/>
                <w:szCs w:val="20"/>
              </w:rPr>
              <w:t>нического университета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 xml:space="preserve">. Инжиниринг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геор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сурсов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>. – 2022. – Т. 333. – №. 2. – С. 7-16.</w:t>
            </w:r>
          </w:p>
          <w:p w14:paraId="3CC1AAD0" w14:textId="77777777" w:rsidR="00EA4040" w:rsidRPr="00F926FD" w:rsidRDefault="00EA4040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C2B9FD" w14:textId="77777777" w:rsidR="00EA4040" w:rsidRPr="00F926FD" w:rsidRDefault="00EA4040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EF7580" w14:textId="48A5994A" w:rsidR="00EA4040" w:rsidRPr="00F926FD" w:rsidRDefault="00EA4040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1B77BD" w14:textId="77777777" w:rsidR="002A692E" w:rsidRPr="00F926FD" w:rsidRDefault="00EA4040" w:rsidP="00EA40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lastRenderedPageBreak/>
              <w:t xml:space="preserve">Краснощекова Л.А.,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Бальса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Га</w:t>
            </w:r>
            <w:r w:rsidRPr="00F926FD">
              <w:rPr>
                <w:rFonts w:ascii="Arial" w:hAnsi="Arial" w:cs="Arial"/>
                <w:sz w:val="20"/>
                <w:szCs w:val="20"/>
              </w:rPr>
              <w:t>р</w:t>
            </w:r>
            <w:r w:rsidRPr="00F926FD">
              <w:rPr>
                <w:rFonts w:ascii="Arial" w:hAnsi="Arial" w:cs="Arial"/>
                <w:sz w:val="20"/>
                <w:szCs w:val="20"/>
              </w:rPr>
              <w:t>сия А.С.. Белозеров В.Б. Ген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зис вторичного доломита в ка</w:t>
            </w:r>
            <w:r w:rsidRPr="00F926FD">
              <w:rPr>
                <w:rFonts w:ascii="Arial" w:hAnsi="Arial" w:cs="Arial"/>
                <w:sz w:val="20"/>
                <w:szCs w:val="20"/>
              </w:rPr>
              <w:t>р</w:t>
            </w:r>
            <w:r w:rsidRPr="00F926FD">
              <w:rPr>
                <w:rFonts w:ascii="Arial" w:hAnsi="Arial" w:cs="Arial"/>
                <w:sz w:val="20"/>
                <w:szCs w:val="20"/>
              </w:rPr>
              <w:t>бонатных нефтеносных отлож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ниях дев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на Северо-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Останинского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месторождения, Западная Сибирь: данные и</w:t>
            </w:r>
            <w:r w:rsidRPr="00F926FD">
              <w:rPr>
                <w:rFonts w:ascii="Arial" w:hAnsi="Arial" w:cs="Arial"/>
                <w:sz w:val="20"/>
                <w:szCs w:val="20"/>
              </w:rPr>
              <w:t>с</w:t>
            </w:r>
            <w:r w:rsidRPr="00F926FD">
              <w:rPr>
                <w:rFonts w:ascii="Arial" w:hAnsi="Arial" w:cs="Arial"/>
                <w:sz w:val="20"/>
                <w:szCs w:val="20"/>
              </w:rPr>
              <w:t>следований газово-жидких включ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ний. / XIX Всероссийская конференция по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термобароге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химии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>, посвященная памяти И.Т. Бакуменко. Новосибирск, 10–13 о</w:t>
            </w:r>
            <w:r w:rsidRPr="00F926FD">
              <w:rPr>
                <w:rFonts w:ascii="Arial" w:hAnsi="Arial" w:cs="Arial"/>
                <w:sz w:val="20"/>
                <w:szCs w:val="20"/>
              </w:rPr>
              <w:t>к</w:t>
            </w:r>
            <w:r w:rsidRPr="00F926FD">
              <w:rPr>
                <w:rFonts w:ascii="Arial" w:hAnsi="Arial" w:cs="Arial"/>
                <w:sz w:val="20"/>
                <w:szCs w:val="20"/>
              </w:rPr>
              <w:t>тября 2022 год</w:t>
            </w:r>
          </w:p>
          <w:p w14:paraId="52CD6FD1" w14:textId="77777777" w:rsidR="00EB307D" w:rsidRPr="00F926FD" w:rsidRDefault="00EB307D" w:rsidP="00EA40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AE960" w14:textId="0FC2C57C" w:rsidR="00EB307D" w:rsidRPr="00F926FD" w:rsidRDefault="00EB307D" w:rsidP="00EA40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Белозёров В. Б., Бобров А. В. Нефтегазоно</w:t>
            </w:r>
            <w:r w:rsidRPr="00F926FD">
              <w:rPr>
                <w:rFonts w:ascii="Arial" w:hAnsi="Arial" w:cs="Arial"/>
                <w:sz w:val="20"/>
                <w:szCs w:val="20"/>
              </w:rPr>
              <w:t>с</w:t>
            </w:r>
            <w:r w:rsidRPr="00F926FD">
              <w:rPr>
                <w:rFonts w:ascii="Arial" w:hAnsi="Arial" w:cs="Arial"/>
                <w:sz w:val="20"/>
                <w:szCs w:val="20"/>
              </w:rPr>
              <w:t>ность прибрежно-морских и дельтовых отлож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ний юго-востока Западной С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бири (опыт комплексной интерпрет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ции керна скважин, ГИС и се</w:t>
            </w:r>
            <w:r w:rsidRPr="00F926FD">
              <w:rPr>
                <w:rFonts w:ascii="Arial" w:hAnsi="Arial" w:cs="Arial"/>
                <w:sz w:val="20"/>
                <w:szCs w:val="20"/>
              </w:rPr>
              <w:t>й</w:t>
            </w:r>
            <w:r w:rsidRPr="00F926FD">
              <w:rPr>
                <w:rFonts w:ascii="Arial" w:hAnsi="Arial" w:cs="Arial"/>
                <w:sz w:val="20"/>
                <w:szCs w:val="20"/>
              </w:rPr>
              <w:t>сморазведки 3D) //Новые выз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вы фундаментальной и пр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lastRenderedPageBreak/>
              <w:t>кладной геологии нефти и газа-XXI век / Материалы Всеросси</w:t>
            </w:r>
            <w:r w:rsidRPr="00F926FD">
              <w:rPr>
                <w:rFonts w:ascii="Arial" w:hAnsi="Arial" w:cs="Arial"/>
                <w:sz w:val="20"/>
                <w:szCs w:val="20"/>
              </w:rPr>
              <w:t>й</w:t>
            </w:r>
            <w:r w:rsidRPr="00F926FD">
              <w:rPr>
                <w:rFonts w:ascii="Arial" w:hAnsi="Arial" w:cs="Arial"/>
                <w:sz w:val="20"/>
                <w:szCs w:val="20"/>
              </w:rPr>
              <w:t>ской научной конфере</w:t>
            </w:r>
            <w:r w:rsidRPr="00F926FD">
              <w:rPr>
                <w:rFonts w:ascii="Arial" w:hAnsi="Arial" w:cs="Arial"/>
                <w:sz w:val="20"/>
                <w:szCs w:val="20"/>
              </w:rPr>
              <w:t>н</w:t>
            </w:r>
            <w:r w:rsidRPr="00F926FD">
              <w:rPr>
                <w:rFonts w:ascii="Arial" w:hAnsi="Arial" w:cs="Arial"/>
                <w:sz w:val="20"/>
                <w:szCs w:val="20"/>
              </w:rPr>
              <w:t>ции с участием иностранных уч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ных, посвященной 150-летию акад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мика АН СССР И.М. Губкина и 110-летию ак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демика АН СССР и РАН А.А.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Трофимука</w:t>
            </w:r>
            <w:proofErr w:type="spellEnd"/>
            <w:r w:rsidR="00342A38" w:rsidRPr="00F926F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342A38" w:rsidRPr="00F926FD">
              <w:rPr>
                <w:rFonts w:ascii="Arial" w:hAnsi="Arial" w:cs="Arial"/>
                <w:sz w:val="20"/>
                <w:szCs w:val="20"/>
              </w:rPr>
              <w:t>-Н</w:t>
            </w:r>
            <w:proofErr w:type="gramEnd"/>
            <w:r w:rsidR="00342A38" w:rsidRPr="00F926FD">
              <w:rPr>
                <w:rFonts w:ascii="Arial" w:hAnsi="Arial" w:cs="Arial"/>
                <w:sz w:val="20"/>
                <w:szCs w:val="20"/>
              </w:rPr>
              <w:t xml:space="preserve">овосибирск. 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 – 2021. – С. 148-150.</w:t>
            </w:r>
          </w:p>
          <w:p w14:paraId="33F7D726" w14:textId="77777777" w:rsidR="00EB307D" w:rsidRPr="00F926FD" w:rsidRDefault="00EB307D" w:rsidP="00EA40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7B7E67" w14:textId="6407859C" w:rsidR="00EB307D" w:rsidRPr="00F926FD" w:rsidRDefault="00342A38" w:rsidP="00342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Белозёров В. Б., Коровин М. О. Высокопроницаемые верхнею</w:t>
            </w:r>
            <w:r w:rsidRPr="00F926FD">
              <w:rPr>
                <w:rFonts w:ascii="Arial" w:hAnsi="Arial" w:cs="Arial"/>
                <w:sz w:val="20"/>
                <w:szCs w:val="20"/>
              </w:rPr>
              <w:t>р</w:t>
            </w:r>
            <w:r w:rsidRPr="00F926FD">
              <w:rPr>
                <w:rFonts w:ascii="Arial" w:hAnsi="Arial" w:cs="Arial"/>
                <w:sz w:val="20"/>
                <w:szCs w:val="20"/>
              </w:rPr>
              <w:t>ские коллектора пролюв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ально-аллювиальных конусов выноса месторождений нефти Восто</w:t>
            </w:r>
            <w:r w:rsidRPr="00F926FD">
              <w:rPr>
                <w:rFonts w:ascii="Arial" w:hAnsi="Arial" w:cs="Arial"/>
                <w:sz w:val="20"/>
                <w:szCs w:val="20"/>
              </w:rPr>
              <w:t>ч</w:t>
            </w:r>
            <w:r w:rsidRPr="00F926FD">
              <w:rPr>
                <w:rFonts w:ascii="Arial" w:hAnsi="Arial" w:cs="Arial"/>
                <w:sz w:val="20"/>
                <w:szCs w:val="20"/>
              </w:rPr>
              <w:t>ного Казахстана //Новые вызовы фундаментальной и прикла</w:t>
            </w:r>
            <w:r w:rsidRPr="00F926FD">
              <w:rPr>
                <w:rFonts w:ascii="Arial" w:hAnsi="Arial" w:cs="Arial"/>
                <w:sz w:val="20"/>
                <w:szCs w:val="20"/>
              </w:rPr>
              <w:t>д</w:t>
            </w:r>
            <w:r w:rsidRPr="00F926FD">
              <w:rPr>
                <w:rFonts w:ascii="Arial" w:hAnsi="Arial" w:cs="Arial"/>
                <w:sz w:val="20"/>
                <w:szCs w:val="20"/>
              </w:rPr>
              <w:t>ной геологии нефти и газа-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>XXI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 xml:space="preserve"> век. / / Материалы Всероссийской научной конференции с участ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ем иностранных ученых, посв</w:t>
            </w:r>
            <w:r w:rsidRPr="00F926FD">
              <w:rPr>
                <w:rFonts w:ascii="Arial" w:hAnsi="Arial" w:cs="Arial"/>
                <w:sz w:val="20"/>
                <w:szCs w:val="20"/>
              </w:rPr>
              <w:t>я</w:t>
            </w:r>
            <w:r w:rsidRPr="00F926FD">
              <w:rPr>
                <w:rFonts w:ascii="Arial" w:hAnsi="Arial" w:cs="Arial"/>
                <w:sz w:val="20"/>
                <w:szCs w:val="20"/>
              </w:rPr>
              <w:t>щенной 150-летию академика АН СССР И.М. Губкина и 110-летию ак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демика АН СССР и РАН А.А.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Трофимука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 - Новос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бирск, – 2021. – С. 192-195.</w:t>
            </w:r>
          </w:p>
        </w:tc>
      </w:tr>
      <w:tr w:rsidR="00FD0A86" w:rsidRPr="00F926FD" w14:paraId="325C405A" w14:textId="77777777" w:rsidTr="00DF635B">
        <w:tc>
          <w:tcPr>
            <w:tcW w:w="315" w:type="dxa"/>
          </w:tcPr>
          <w:p w14:paraId="019D3650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812" w:type="dxa"/>
          </w:tcPr>
          <w:p w14:paraId="073945A0" w14:textId="77777777" w:rsidR="00FD0A86" w:rsidRPr="00F926FD" w:rsidRDefault="00FD0A86" w:rsidP="00DF635B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 xml:space="preserve">Гончаров </w:t>
            </w:r>
          </w:p>
          <w:p w14:paraId="3B30C532" w14:textId="77777777" w:rsidR="00FD0A86" w:rsidRPr="00F926FD" w:rsidRDefault="00FD0A86" w:rsidP="00DF635B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Иван Василь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вич</w:t>
            </w:r>
          </w:p>
        </w:tc>
        <w:tc>
          <w:tcPr>
            <w:tcW w:w="1540" w:type="dxa"/>
          </w:tcPr>
          <w:p w14:paraId="5909EBBD" w14:textId="77777777" w:rsidR="00FD0A86" w:rsidRPr="00F926FD" w:rsidRDefault="00FD0A86" w:rsidP="00DF635B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Внешний совм</w:t>
            </w: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ститель</w:t>
            </w:r>
          </w:p>
        </w:tc>
        <w:tc>
          <w:tcPr>
            <w:tcW w:w="1579" w:type="dxa"/>
          </w:tcPr>
          <w:p w14:paraId="6CA58846" w14:textId="77777777" w:rsidR="00FD0A86" w:rsidRPr="00F926FD" w:rsidRDefault="00FD0A86" w:rsidP="00DF635B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д.г.-</w:t>
            </w:r>
            <w:proofErr w:type="spellStart"/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м.н</w:t>
            </w:r>
            <w:proofErr w:type="spellEnd"/>
            <w:r w:rsidRPr="00F926FD">
              <w:rPr>
                <w:rFonts w:ascii="Arial" w:eastAsia="Times New Roman" w:hAnsi="Arial" w:cs="Arial"/>
                <w:sz w:val="20"/>
                <w:szCs w:val="20"/>
              </w:rPr>
              <w:t xml:space="preserve">., </w:t>
            </w:r>
          </w:p>
          <w:p w14:paraId="2569E4BC" w14:textId="77777777" w:rsidR="00FD0A86" w:rsidRPr="00F926FD" w:rsidRDefault="00FD0A86" w:rsidP="00DF635B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ученое зв</w:t>
            </w: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ние пр</w:t>
            </w: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фессор, должность пр</w:t>
            </w: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фессор</w:t>
            </w:r>
          </w:p>
          <w:p w14:paraId="6A78CB26" w14:textId="77777777" w:rsidR="00FD0A86" w:rsidRPr="00F926FD" w:rsidRDefault="00FD0A86" w:rsidP="00DF635B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165C41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В рамках направл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ния научных иссл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дований ТПУ</w:t>
            </w:r>
          </w:p>
          <w:p w14:paraId="6FDDEF38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Геология, геохимия, минералогия:</w:t>
            </w:r>
          </w:p>
          <w:p w14:paraId="302F2DBB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Науки о Земле и сме</w:t>
            </w:r>
            <w:r w:rsidRPr="00F926FD">
              <w:rPr>
                <w:rFonts w:ascii="Arial" w:hAnsi="Arial" w:cs="Arial"/>
                <w:sz w:val="20"/>
                <w:szCs w:val="20"/>
              </w:rPr>
              <w:t>ж</w:t>
            </w:r>
            <w:r w:rsidRPr="00F926FD">
              <w:rPr>
                <w:rFonts w:ascii="Arial" w:hAnsi="Arial" w:cs="Arial"/>
                <w:sz w:val="20"/>
                <w:szCs w:val="20"/>
              </w:rPr>
              <w:t>ные экологические науки</w:t>
            </w:r>
          </w:p>
          <w:p w14:paraId="1CFA387A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(Приказ № 83-34 от 23.03.2020)</w:t>
            </w:r>
          </w:p>
        </w:tc>
        <w:tc>
          <w:tcPr>
            <w:tcW w:w="3685" w:type="dxa"/>
          </w:tcPr>
          <w:p w14:paraId="4655561E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 xml:space="preserve">Зубков В.А., Молодых П.В., Гончаров И.В., Самойленко В.В., Фадеева С.В.,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Кашапов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Р.С. Поэтапное моделирование процесса формирования залежей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Трайгородско-Кондаковского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нефтяного месторождения // Нефтяное хозяйство. – 2022. – № 2. – С. 32-37</w:t>
            </w:r>
          </w:p>
          <w:p w14:paraId="52D5A6C5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6BC6A7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Oblasov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N.V.,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Goncharov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I.V.,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Derduga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A.V.,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Kun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tsyna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I.V. Geochemistry and carbon isotope chara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teristics of associated gases from oilfields in the NW Greater Caucasus, Russia // Journal of Petroleum Geology. – 2022. – Vol. 45,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Iss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. 3. 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– P. 325-341</w:t>
            </w:r>
          </w:p>
          <w:p w14:paraId="66B0F4DE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AEE0AF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Рейтблат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Е.А.,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Заночуев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С.А., Гончаров И.В.,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Обласов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Н.В.,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Ромашкин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С.В.,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Ломухин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А.Ю. Изучение дифференциации состава и свойств газа пласта АЧ3-4 на Ново-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Уренгойском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лицензионном участке // Газ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вая промышленность. – 2021. – № 12. – С. 46-52</w:t>
            </w:r>
          </w:p>
          <w:p w14:paraId="28EE72F7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BD3BF4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Grinko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A.A.,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Goncharov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I.V.,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Oblasov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N.V.,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Gershelis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E.V.,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Shaldybin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M.V.,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Shakhova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N.E.,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Zarubin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A.G.,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Ruban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A.S.,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Dudarev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O.V.,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Veklich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M.A.,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Mazurov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A.K.,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Semiletov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I.P. Characterization of organic matter of the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laptev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sea eroded coastal sediments: A case study from the cape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muostakh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Bykovsky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Peninsula // Geosciences (Switzerland). – 2021. – Vol. 11,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Iss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. 2. – P. 1-27</w:t>
            </w:r>
          </w:p>
          <w:p w14:paraId="1CB1F1C2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946B73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Goncharov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I.V.,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Samoilenko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V.V., van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Graas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G.W.,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Trushkov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P.V.,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Oblasov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N.V.,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Fadeeva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S.V.,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Veklich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M.A.,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Kashapov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R.S.,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Sidorov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D.A. Petroleum generation and migration in the southern Tyumen region, Western Siberia Basin, Russia // Organic Geochemi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try. – 2021. – Vol. 152. –Article number 104178</w:t>
            </w:r>
          </w:p>
          <w:p w14:paraId="65EB2205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8514C7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Oblasov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N. 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Goncharov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I. 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Eftor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I. 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Veklich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M. A., van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Graas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G. W. Geochemistry of oils and gases from the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Verkhnechonskoye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field, east Siberian basin: application of analytical r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sults to reservoir characterization // Journal of Petroleum Geology. – Vol. 47 (3). – July 2024. – P. 291-316.</w:t>
            </w:r>
          </w:p>
          <w:p w14:paraId="747ACC8A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05B775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Болдушевская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Л.Н., Гончаров И.В., Фадеева С.В., Трушков П.В., Самойленко В.В.,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Веклич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М.А. и др.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Нефтематеринские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свойства и корреляция органическое вещество пород –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lastRenderedPageBreak/>
              <w:t>нафтиды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ирэмэкэнской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толщи верхнего р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фея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Камовского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свода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Байкитской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антеклизы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(Сибирская платформа) // Геология и геоф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зика. – 2024. – т. 65 (1). – С. 117-132.</w:t>
            </w:r>
          </w:p>
          <w:p w14:paraId="445BB794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DOI: 10.15372/GiG2023176</w:t>
            </w:r>
          </w:p>
          <w:p w14:paraId="0D9E8BD3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66D614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Goncharov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I.V.,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Veklich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M.A.,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Oblasov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N.V.,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Samoilenko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V.V.,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Fadeeva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S.V.,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Kashapov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R.S.,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Trushkov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P.V.,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Zherdeva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A.V.,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Smirnova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N.A. The Nature of Hydrocarbon Fluids at the Fields in the North of Western Siberia: the Geochem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cal Aspect // Geochemistry International. – 2023. – Vol. 61. pp. 103-126. DOI: 10.1134/S0016702923020040</w:t>
            </w:r>
          </w:p>
        </w:tc>
        <w:tc>
          <w:tcPr>
            <w:tcW w:w="3402" w:type="dxa"/>
          </w:tcPr>
          <w:p w14:paraId="022F6821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lastRenderedPageBreak/>
              <w:t>К вопросу о дальности мигр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ции углев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дородных флюидов на примере месторождений южной части Тюменской области (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Уватский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район) //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Геом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дель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2022. Сборник матери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лов 24-й научно-практической конфере</w:t>
            </w:r>
            <w:r w:rsidRPr="00F926FD">
              <w:rPr>
                <w:rFonts w:ascii="Arial" w:hAnsi="Arial" w:cs="Arial"/>
                <w:sz w:val="20"/>
                <w:szCs w:val="20"/>
              </w:rPr>
              <w:t>н</w:t>
            </w:r>
            <w:r w:rsidRPr="00F926FD">
              <w:rPr>
                <w:rFonts w:ascii="Arial" w:hAnsi="Arial" w:cs="Arial"/>
                <w:sz w:val="20"/>
                <w:szCs w:val="20"/>
              </w:rPr>
              <w:t>ции по вопросам геологоразве</w:t>
            </w:r>
            <w:r w:rsidRPr="00F926FD">
              <w:rPr>
                <w:rFonts w:ascii="Arial" w:hAnsi="Arial" w:cs="Arial"/>
                <w:sz w:val="20"/>
                <w:szCs w:val="20"/>
              </w:rPr>
              <w:t>д</w:t>
            </w:r>
            <w:r w:rsidRPr="00F926FD">
              <w:rPr>
                <w:rFonts w:ascii="Arial" w:hAnsi="Arial" w:cs="Arial"/>
                <w:sz w:val="20"/>
                <w:szCs w:val="20"/>
              </w:rPr>
              <w:t>ки и разработки месторо</w:t>
            </w:r>
            <w:r w:rsidRPr="00F926FD">
              <w:rPr>
                <w:rFonts w:ascii="Arial" w:hAnsi="Arial" w:cs="Arial"/>
                <w:sz w:val="20"/>
                <w:szCs w:val="20"/>
              </w:rPr>
              <w:t>ж</w:t>
            </w:r>
            <w:r w:rsidRPr="00F926FD">
              <w:rPr>
                <w:rFonts w:ascii="Arial" w:hAnsi="Arial" w:cs="Arial"/>
                <w:sz w:val="20"/>
                <w:szCs w:val="20"/>
              </w:rPr>
              <w:t>дений нефти и газа. – Москва, 2022. – С. 170-173</w:t>
            </w:r>
          </w:p>
          <w:p w14:paraId="6FBA6991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70C6A1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Геохимия и фациальные усл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lastRenderedPageBreak/>
              <w:t xml:space="preserve">вия формирования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нефтемат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ринских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пород пале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зоя юго-востока Западной Сибири //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Геомодель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2022. Сборник мат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риалов 24-й научно-практической конференции по вопросам ге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логоразведки и разработки месторождений нефти и газа. – Москва, 2022. – С. 63-66</w:t>
            </w:r>
          </w:p>
          <w:p w14:paraId="4A80EF12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60648C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Определение содержания п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рафинов в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нефтях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>конденс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тах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 xml:space="preserve"> с использованием данных им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тированной дистилляции по ГОСТ 54291 // Химия и химич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ская технология в XXI веке. М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териалы XXIII Ме</w:t>
            </w:r>
            <w:r w:rsidRPr="00F926FD">
              <w:rPr>
                <w:rFonts w:ascii="Arial" w:hAnsi="Arial" w:cs="Arial"/>
                <w:sz w:val="20"/>
                <w:szCs w:val="20"/>
              </w:rPr>
              <w:t>ж</w:t>
            </w:r>
            <w:r w:rsidRPr="00F926FD">
              <w:rPr>
                <w:rFonts w:ascii="Arial" w:hAnsi="Arial" w:cs="Arial"/>
                <w:sz w:val="20"/>
                <w:szCs w:val="20"/>
              </w:rPr>
              <w:t>дународной научно-практической конфере</w:t>
            </w:r>
            <w:r w:rsidRPr="00F926FD">
              <w:rPr>
                <w:rFonts w:ascii="Arial" w:hAnsi="Arial" w:cs="Arial"/>
                <w:sz w:val="20"/>
                <w:szCs w:val="20"/>
              </w:rPr>
              <w:t>н</w:t>
            </w:r>
            <w:r w:rsidRPr="00F926FD">
              <w:rPr>
                <w:rFonts w:ascii="Arial" w:hAnsi="Arial" w:cs="Arial"/>
                <w:sz w:val="20"/>
                <w:szCs w:val="20"/>
              </w:rPr>
              <w:t>ции студентов и молодых уч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ных имени выдающихся хим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ков Л.П.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Кулёва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и Н.М.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Ки</w:t>
            </w:r>
            <w:r w:rsidRPr="00F926FD">
              <w:rPr>
                <w:rFonts w:ascii="Arial" w:hAnsi="Arial" w:cs="Arial"/>
                <w:sz w:val="20"/>
                <w:szCs w:val="20"/>
              </w:rPr>
              <w:t>ж</w:t>
            </w:r>
            <w:r w:rsidRPr="00F926FD">
              <w:rPr>
                <w:rFonts w:ascii="Arial" w:hAnsi="Arial" w:cs="Arial"/>
                <w:sz w:val="20"/>
                <w:szCs w:val="20"/>
              </w:rPr>
              <w:t>нера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. В 2-х томах. 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>–Т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>омск, 2022. – С. 407-408</w:t>
            </w:r>
          </w:p>
          <w:p w14:paraId="3FFE34FD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Использование относительного распределения соединений нафталинов в качестве показ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теля термической зрелости о</w:t>
            </w:r>
            <w:r w:rsidRPr="00F926FD">
              <w:rPr>
                <w:rFonts w:ascii="Arial" w:hAnsi="Arial" w:cs="Arial"/>
                <w:sz w:val="20"/>
                <w:szCs w:val="20"/>
              </w:rPr>
              <w:t>р</w:t>
            </w:r>
            <w:r w:rsidRPr="00F926FD">
              <w:rPr>
                <w:rFonts w:ascii="Arial" w:hAnsi="Arial" w:cs="Arial"/>
                <w:sz w:val="20"/>
                <w:szCs w:val="20"/>
              </w:rPr>
              <w:t>ганического вещества на пр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мере экстрактов пород баж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новской свиты и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нефтей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Кра</w:t>
            </w:r>
            <w:r w:rsidRPr="00F926FD">
              <w:rPr>
                <w:rFonts w:ascii="Arial" w:hAnsi="Arial" w:cs="Arial"/>
                <w:sz w:val="20"/>
                <w:szCs w:val="20"/>
              </w:rPr>
              <w:t>с</w:t>
            </w:r>
            <w:r w:rsidRPr="00F926FD">
              <w:rPr>
                <w:rFonts w:ascii="Arial" w:hAnsi="Arial" w:cs="Arial"/>
                <w:sz w:val="20"/>
                <w:szCs w:val="20"/>
              </w:rPr>
              <w:t>ноленинского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свода // Пробл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мы геологии и освоения недр. Труды XXV Международного симпозиума имени академика М.А. Усова студентов и мол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дых ученых, посвященного 120-летию горно-геологического о</w:t>
            </w:r>
            <w:r w:rsidRPr="00F926FD">
              <w:rPr>
                <w:rFonts w:ascii="Arial" w:hAnsi="Arial" w:cs="Arial"/>
                <w:sz w:val="20"/>
                <w:szCs w:val="20"/>
              </w:rPr>
              <w:t>б</w:t>
            </w:r>
            <w:r w:rsidRPr="00F926FD">
              <w:rPr>
                <w:rFonts w:ascii="Arial" w:hAnsi="Arial" w:cs="Arial"/>
                <w:sz w:val="20"/>
                <w:szCs w:val="20"/>
              </w:rPr>
              <w:t>разования в С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бири, 125-летию со дня основания Томского п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lastRenderedPageBreak/>
              <w:t>литехнического университета. – Томск, 2021. – С. 161-163</w:t>
            </w:r>
          </w:p>
          <w:p w14:paraId="1643977E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177E7C" w14:textId="77777777" w:rsidR="00FD0A86" w:rsidRPr="00F926FD" w:rsidRDefault="00FD0A86" w:rsidP="00DF6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Особенности изотопного сост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ва углерода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нефтей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и газов В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сточной Сибири, как ключ к в</w:t>
            </w:r>
            <w:r w:rsidRPr="00F926FD">
              <w:rPr>
                <w:rFonts w:ascii="Arial" w:hAnsi="Arial" w:cs="Arial"/>
                <w:sz w:val="20"/>
                <w:szCs w:val="20"/>
              </w:rPr>
              <w:t>ы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явлению их генезиса /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Веклич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М.А., Гончаров И.В.,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Жердева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А.В., Фадеева С.В.,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Обл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сов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Н.В., Козырева К.В., Самойле</w:t>
            </w:r>
            <w:r w:rsidRPr="00F926FD">
              <w:rPr>
                <w:rFonts w:ascii="Arial" w:hAnsi="Arial" w:cs="Arial"/>
                <w:sz w:val="20"/>
                <w:szCs w:val="20"/>
              </w:rPr>
              <w:t>н</w:t>
            </w:r>
            <w:r w:rsidRPr="00F926FD">
              <w:rPr>
                <w:rFonts w:ascii="Arial" w:hAnsi="Arial" w:cs="Arial"/>
                <w:sz w:val="20"/>
                <w:szCs w:val="20"/>
              </w:rPr>
              <w:t>ко В.В // XXIII симпозиум по ге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химии изотопов имени академ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ка А.П. Виноградова (14-16 н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ября 2023 г.). Тезисы докл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дов. – М.: ГЕОХИ РАН, 2023. – С. 47-49.</w:t>
            </w:r>
          </w:p>
        </w:tc>
      </w:tr>
      <w:tr w:rsidR="002A692E" w:rsidRPr="00F926FD" w14:paraId="34FA1E09" w14:textId="77777777" w:rsidTr="00E05FBC">
        <w:trPr>
          <w:trHeight w:val="1240"/>
        </w:trPr>
        <w:tc>
          <w:tcPr>
            <w:tcW w:w="315" w:type="dxa"/>
          </w:tcPr>
          <w:p w14:paraId="260352BF" w14:textId="23AE842F" w:rsidR="002A692E" w:rsidRPr="00F926FD" w:rsidRDefault="002A692E" w:rsidP="00A05E3D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812" w:type="dxa"/>
          </w:tcPr>
          <w:p w14:paraId="4CB4E043" w14:textId="77777777" w:rsidR="002A692E" w:rsidRPr="00F926FD" w:rsidRDefault="002A692E" w:rsidP="002A692E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 xml:space="preserve">Матвеев </w:t>
            </w:r>
          </w:p>
          <w:p w14:paraId="688A3630" w14:textId="520C4CB8" w:rsidR="002A692E" w:rsidRPr="00F926FD" w:rsidRDefault="002A692E" w:rsidP="002A692E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Иван Василь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вич</w:t>
            </w:r>
          </w:p>
        </w:tc>
        <w:tc>
          <w:tcPr>
            <w:tcW w:w="1540" w:type="dxa"/>
          </w:tcPr>
          <w:p w14:paraId="194DB03F" w14:textId="01C36A19" w:rsidR="002A692E" w:rsidRPr="00F926FD" w:rsidRDefault="002A692E" w:rsidP="00A05E3D">
            <w:pPr>
              <w:pStyle w:val="a4"/>
              <w:ind w:left="-142" w:right="-66" w:firstLine="31"/>
              <w:rPr>
                <w:rFonts w:ascii="Arial" w:hAnsi="Arial" w:cs="Arial"/>
              </w:rPr>
            </w:pPr>
            <w:r w:rsidRPr="00F926FD">
              <w:rPr>
                <w:rFonts w:ascii="Arial" w:eastAsia="Times New Roman" w:hAnsi="Arial" w:cs="Arial"/>
              </w:rPr>
              <w:t>штатный</w:t>
            </w:r>
          </w:p>
        </w:tc>
        <w:tc>
          <w:tcPr>
            <w:tcW w:w="1579" w:type="dxa"/>
          </w:tcPr>
          <w:p w14:paraId="40C9F29C" w14:textId="77777777" w:rsidR="002A692E" w:rsidRPr="00F926FD" w:rsidRDefault="002A692E" w:rsidP="0086754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к.ф.-м.н.,</w:t>
            </w:r>
          </w:p>
          <w:p w14:paraId="546F2E70" w14:textId="1E6D26FD" w:rsidR="002A692E" w:rsidRPr="00F926FD" w:rsidRDefault="002A692E" w:rsidP="00A05E3D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sz w:val="20"/>
                <w:szCs w:val="20"/>
              </w:rPr>
              <w:t xml:space="preserve">должность  доцент, </w:t>
            </w:r>
          </w:p>
        </w:tc>
        <w:tc>
          <w:tcPr>
            <w:tcW w:w="2835" w:type="dxa"/>
          </w:tcPr>
          <w:p w14:paraId="5C7D79FF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Применение методов автоматиз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рованной адаптации ГГДМ, управляемых геолог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ческими неопределе</w:t>
            </w:r>
            <w:r w:rsidRPr="00F926FD">
              <w:rPr>
                <w:rFonts w:ascii="Arial" w:hAnsi="Arial" w:cs="Arial"/>
                <w:sz w:val="20"/>
                <w:szCs w:val="20"/>
              </w:rPr>
              <w:t>н</w:t>
            </w:r>
            <w:r w:rsidRPr="00F926FD">
              <w:rPr>
                <w:rFonts w:ascii="Arial" w:hAnsi="Arial" w:cs="Arial"/>
                <w:sz w:val="20"/>
                <w:szCs w:val="20"/>
              </w:rPr>
              <w:t>ностями.</w:t>
            </w:r>
          </w:p>
          <w:p w14:paraId="48555874" w14:textId="54BE0D6B" w:rsidR="002A692E" w:rsidRPr="00F926FD" w:rsidRDefault="002A692E" w:rsidP="00A05E3D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Нетрадиционные спос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бы моделиров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ния и алгоритмы ускорения расчетов ГДМ, в том числе с помощью мет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дов машинного об</w:t>
            </w:r>
            <w:r w:rsidRPr="00F926FD">
              <w:rPr>
                <w:rFonts w:ascii="Arial" w:hAnsi="Arial" w:cs="Arial"/>
                <w:sz w:val="20"/>
                <w:szCs w:val="20"/>
              </w:rPr>
              <w:t>у</w:t>
            </w:r>
            <w:r w:rsidRPr="00F926FD">
              <w:rPr>
                <w:rFonts w:ascii="Arial" w:hAnsi="Arial" w:cs="Arial"/>
                <w:sz w:val="20"/>
                <w:szCs w:val="20"/>
              </w:rPr>
              <w:t>чения</w:t>
            </w:r>
          </w:p>
        </w:tc>
        <w:tc>
          <w:tcPr>
            <w:tcW w:w="3685" w:type="dxa"/>
          </w:tcPr>
          <w:p w14:paraId="1A159D49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Геологически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обоснованная автоматизир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ванная адаптация гидродинамических мод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лей на прим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ре реального месторождения =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Geologically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plausible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computer-aided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history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matching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example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oil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fields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/ С.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Кайгородов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, Г. Ю.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Шишаев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>, И. В. Матвеев [и др.] // Нефтяное хозя</w:t>
            </w:r>
            <w:r w:rsidRPr="00F926FD">
              <w:rPr>
                <w:rFonts w:ascii="Arial" w:hAnsi="Arial" w:cs="Arial"/>
                <w:sz w:val="20"/>
                <w:szCs w:val="20"/>
              </w:rPr>
              <w:t>й</w:t>
            </w:r>
            <w:r w:rsidRPr="00F926FD">
              <w:rPr>
                <w:rFonts w:ascii="Arial" w:hAnsi="Arial" w:cs="Arial"/>
                <w:sz w:val="20"/>
                <w:szCs w:val="20"/>
              </w:rPr>
              <w:t>ство: научно-технический и производственный журнал: . — 2020 . — № 6 . — [С. 58-61] . — З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главие с экрана. — [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>.: 9 назв.]. — Режим д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ступа: по договору с организацией-держателем ресурса.. — ISSN 0028-2448 .</w:t>
            </w:r>
          </w:p>
          <w:p w14:paraId="4A3FC413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2F24D9" w14:textId="77777777" w:rsidR="002A692E" w:rsidRPr="00F926FD" w:rsidRDefault="002A692E" w:rsidP="00A05E3D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51DC7B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Geology Driven History Matching / I. V.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Ma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veev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, G. Yu.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Shishaev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, G. A.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Eremyan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[et al.] // SPE Russian Petroleum Technology Confe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ence Proceedings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OnePetro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, Moscow, October 22-24, 2019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: .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— 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Dallas :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SPE , 2019 . — [7 p.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] </w:t>
            </w:r>
            <w:r w:rsidRPr="00F926F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 xml:space="preserve"> —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screen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>. — Режим дост</w:t>
            </w:r>
            <w:r w:rsidRPr="00F926FD">
              <w:rPr>
                <w:rFonts w:ascii="Arial" w:hAnsi="Arial" w:cs="Arial"/>
                <w:sz w:val="20"/>
                <w:szCs w:val="20"/>
              </w:rPr>
              <w:t>у</w:t>
            </w:r>
            <w:r w:rsidRPr="00F926FD">
              <w:rPr>
                <w:rFonts w:ascii="Arial" w:hAnsi="Arial" w:cs="Arial"/>
                <w:sz w:val="20"/>
                <w:szCs w:val="20"/>
              </w:rPr>
              <w:t>па: по договору с организ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цией-держателем ресурса.</w:t>
            </w:r>
          </w:p>
          <w:p w14:paraId="5E840A69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A54FFA" w14:textId="0A905309" w:rsidR="002A692E" w:rsidRPr="00F926FD" w:rsidRDefault="002A692E" w:rsidP="00A05E3D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Machine Learning Clustering of Reservoir Heterogeneity with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Petr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physical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and Produ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tion Data / D. V.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Konoshonkin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, G. Yu.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Shishaev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, I. V.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Matveev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[et al.] // SPE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Europec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featured at 82nd E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GE Conference and Exhibition Conferences Pr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ceedings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OnePetro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, Amsterdam, The Netherlands, D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cember 8-11, 2019,: . — 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Dallas :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SPE , 2020 . — [10 p.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] </w:t>
            </w:r>
            <w:r w:rsidRPr="00F926F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 xml:space="preserve"> —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screen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>. — Режим доступа: по договору с организ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цией-держателем ресурса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2A692E" w:rsidRPr="00F926FD" w14:paraId="266060ED" w14:textId="77777777" w:rsidTr="002A692E">
        <w:trPr>
          <w:trHeight w:val="1405"/>
        </w:trPr>
        <w:tc>
          <w:tcPr>
            <w:tcW w:w="315" w:type="dxa"/>
          </w:tcPr>
          <w:p w14:paraId="28C518D3" w14:textId="5A731B18" w:rsidR="002A692E" w:rsidRPr="00F926FD" w:rsidRDefault="002A692E" w:rsidP="00A05E3D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812" w:type="dxa"/>
          </w:tcPr>
          <w:p w14:paraId="0CE34E00" w14:textId="77777777" w:rsidR="002A692E" w:rsidRPr="00F926FD" w:rsidRDefault="002A692E" w:rsidP="002A692E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 xml:space="preserve">Мельник </w:t>
            </w:r>
          </w:p>
          <w:p w14:paraId="2C562A33" w14:textId="72034300" w:rsidR="002A692E" w:rsidRPr="00F926FD" w:rsidRDefault="002A692E" w:rsidP="002A692E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Игорь Анат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льевич</w:t>
            </w:r>
          </w:p>
        </w:tc>
        <w:tc>
          <w:tcPr>
            <w:tcW w:w="1540" w:type="dxa"/>
          </w:tcPr>
          <w:p w14:paraId="009DAE50" w14:textId="022E3D0E" w:rsidR="002A692E" w:rsidRPr="00F926FD" w:rsidRDefault="002A692E" w:rsidP="00A05E3D">
            <w:pPr>
              <w:pStyle w:val="a4"/>
              <w:ind w:left="-142" w:right="-66" w:firstLine="31"/>
              <w:rPr>
                <w:rFonts w:ascii="Arial" w:eastAsia="Times New Roman" w:hAnsi="Arial" w:cs="Arial"/>
              </w:rPr>
            </w:pPr>
            <w:r w:rsidRPr="00F926FD">
              <w:rPr>
                <w:rFonts w:ascii="Arial" w:eastAsia="Times New Roman" w:hAnsi="Arial" w:cs="Arial"/>
              </w:rPr>
              <w:t>штатный</w:t>
            </w:r>
          </w:p>
        </w:tc>
        <w:tc>
          <w:tcPr>
            <w:tcW w:w="1579" w:type="dxa"/>
          </w:tcPr>
          <w:p w14:paraId="7BEE606E" w14:textId="77777777" w:rsidR="002A692E" w:rsidRPr="00F926FD" w:rsidRDefault="002A692E" w:rsidP="0086754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Д.</w:t>
            </w:r>
            <w:proofErr w:type="gramStart"/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г-м</w:t>
            </w:r>
            <w:proofErr w:type="gramEnd"/>
            <w:r w:rsidRPr="00F926FD">
              <w:rPr>
                <w:rFonts w:ascii="Arial" w:eastAsia="Times New Roman" w:hAnsi="Arial" w:cs="Arial"/>
                <w:sz w:val="20"/>
                <w:szCs w:val="20"/>
              </w:rPr>
              <w:t>.н</w:t>
            </w:r>
            <w:proofErr w:type="spellEnd"/>
            <w:r w:rsidRPr="00F926FD">
              <w:rPr>
                <w:rFonts w:ascii="Arial" w:eastAsia="Times New Roman" w:hAnsi="Arial" w:cs="Arial"/>
                <w:sz w:val="20"/>
                <w:szCs w:val="20"/>
              </w:rPr>
              <w:t>.,</w:t>
            </w:r>
          </w:p>
          <w:p w14:paraId="3C34E6FD" w14:textId="02F656C6" w:rsidR="002A692E" w:rsidRPr="00F926FD" w:rsidRDefault="002A692E" w:rsidP="0086754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профессор</w:t>
            </w:r>
          </w:p>
        </w:tc>
        <w:tc>
          <w:tcPr>
            <w:tcW w:w="2835" w:type="dxa"/>
          </w:tcPr>
          <w:p w14:paraId="548E4D07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2DF808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9139B9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92E" w:rsidRPr="00F926FD" w14:paraId="4B767795" w14:textId="77777777" w:rsidTr="00867542">
        <w:tc>
          <w:tcPr>
            <w:tcW w:w="315" w:type="dxa"/>
          </w:tcPr>
          <w:p w14:paraId="6EC15376" w14:textId="7D2984E3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09ABD480" w14:textId="77777777" w:rsidR="002A692E" w:rsidRPr="00F926FD" w:rsidRDefault="002A692E" w:rsidP="00867542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 xml:space="preserve">Минаев </w:t>
            </w:r>
          </w:p>
          <w:p w14:paraId="2003E514" w14:textId="77777777" w:rsidR="002A692E" w:rsidRPr="00F926FD" w:rsidRDefault="002A692E" w:rsidP="00867542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 xml:space="preserve">Константин </w:t>
            </w:r>
          </w:p>
          <w:p w14:paraId="5077FB0B" w14:textId="77777777" w:rsidR="002A692E" w:rsidRPr="00F926FD" w:rsidRDefault="002A692E" w:rsidP="0086754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Мадестович</w:t>
            </w:r>
            <w:proofErr w:type="spellEnd"/>
          </w:p>
        </w:tc>
        <w:tc>
          <w:tcPr>
            <w:tcW w:w="1540" w:type="dxa"/>
          </w:tcPr>
          <w:p w14:paraId="25E6B97A" w14:textId="77777777" w:rsidR="002A692E" w:rsidRPr="00F926FD" w:rsidRDefault="002A692E" w:rsidP="002A692E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штатный</w:t>
            </w:r>
          </w:p>
        </w:tc>
        <w:tc>
          <w:tcPr>
            <w:tcW w:w="1579" w:type="dxa"/>
          </w:tcPr>
          <w:p w14:paraId="1F66470D" w14:textId="541E2DD1" w:rsidR="002A692E" w:rsidRPr="00F926FD" w:rsidRDefault="002A692E" w:rsidP="002A692E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К.х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>н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31C08D5F" w14:textId="77777777" w:rsidR="002A692E" w:rsidRPr="00F926FD" w:rsidRDefault="002A692E" w:rsidP="008675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1. Договор 13.14-320/2022у от 17.10.2022 на тему: «Услуги по анализ свойств химических ре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гентов и буровых растворов».</w:t>
            </w:r>
          </w:p>
          <w:p w14:paraId="42FC5293" w14:textId="77777777" w:rsidR="002A692E" w:rsidRPr="00F926FD" w:rsidRDefault="002A692E" w:rsidP="008675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2. Договор № 13.14-227/2022у от 09.08.2022 на тему: «Разработка реце</w:t>
            </w:r>
            <w:r w:rsidRPr="00F926FD">
              <w:rPr>
                <w:rFonts w:ascii="Arial" w:hAnsi="Arial" w:cs="Arial"/>
                <w:sz w:val="20"/>
                <w:szCs w:val="20"/>
              </w:rPr>
              <w:t>п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тур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тукосмесей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для приг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товления жи</w:t>
            </w:r>
            <w:r w:rsidRPr="00F926FD">
              <w:rPr>
                <w:rFonts w:ascii="Arial" w:hAnsi="Arial" w:cs="Arial"/>
                <w:sz w:val="20"/>
                <w:szCs w:val="20"/>
              </w:rPr>
              <w:t>д</w:t>
            </w:r>
            <w:r w:rsidRPr="00F926FD">
              <w:rPr>
                <w:rFonts w:ascii="Arial" w:hAnsi="Arial" w:cs="Arial"/>
                <w:sz w:val="20"/>
                <w:szCs w:val="20"/>
              </w:rPr>
              <w:t>костей глушения на основе взаимной системы хлорид кал</w:t>
            </w:r>
            <w:r w:rsidRPr="00F926FD">
              <w:rPr>
                <w:rFonts w:ascii="Arial" w:hAnsi="Arial" w:cs="Arial"/>
                <w:sz w:val="20"/>
                <w:szCs w:val="20"/>
              </w:rPr>
              <w:t>ь</w:t>
            </w:r>
            <w:r w:rsidRPr="00F926FD">
              <w:rPr>
                <w:rFonts w:ascii="Arial" w:hAnsi="Arial" w:cs="Arial"/>
                <w:sz w:val="20"/>
                <w:szCs w:val="20"/>
              </w:rPr>
              <w:t>ция, нитрат кальция и дополн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тельных компонентов в ди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пазоне плотностей 1,3-1,8 г/см</w:t>
            </w:r>
            <w:r w:rsidRPr="00F926F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F926FD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64F89BCE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07E15D6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1.Полимерные суспензии для эффективного бурения. Королев А.С., Минаев К.М. // Дел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вой жу</w:t>
            </w:r>
            <w:r w:rsidRPr="00F926FD">
              <w:rPr>
                <w:rFonts w:ascii="Arial" w:hAnsi="Arial" w:cs="Arial"/>
                <w:sz w:val="20"/>
                <w:szCs w:val="20"/>
              </w:rPr>
              <w:t>р</w:t>
            </w:r>
            <w:r w:rsidRPr="00F926FD">
              <w:rPr>
                <w:rFonts w:ascii="Arial" w:hAnsi="Arial" w:cs="Arial"/>
                <w:sz w:val="20"/>
                <w:szCs w:val="20"/>
              </w:rPr>
              <w:t>нал Neftegaz.RU. 2021. № 1 (109). С. 84-88.</w:t>
            </w:r>
          </w:p>
          <w:p w14:paraId="70189113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2. Исследование качества вскрытия проду</w:t>
            </w:r>
            <w:r w:rsidRPr="00F926FD">
              <w:rPr>
                <w:rFonts w:ascii="Arial" w:hAnsi="Arial" w:cs="Arial"/>
                <w:sz w:val="20"/>
                <w:szCs w:val="20"/>
              </w:rPr>
              <w:t>к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тивных пластов месторождений 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>западной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сибири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различными типами биополимерных буровых растворов/ А.С. Захаров, К.М. Мин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ев, А.В.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Пестерев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>, А.С. Боев // Известия То</w:t>
            </w:r>
            <w:r w:rsidRPr="00F926FD">
              <w:rPr>
                <w:rFonts w:ascii="Arial" w:hAnsi="Arial" w:cs="Arial"/>
                <w:sz w:val="20"/>
                <w:szCs w:val="20"/>
              </w:rPr>
              <w:t>м</w:t>
            </w:r>
            <w:r w:rsidRPr="00F926FD">
              <w:rPr>
                <w:rFonts w:ascii="Arial" w:hAnsi="Arial" w:cs="Arial"/>
                <w:sz w:val="20"/>
                <w:szCs w:val="20"/>
              </w:rPr>
              <w:t>ского политехнического университета. Инж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ниринг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георесурсов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. – 2022. – </w:t>
            </w:r>
            <w:r w:rsidRPr="00F926FD">
              <w:rPr>
                <w:rFonts w:ascii="Arial" w:hAnsi="Arial" w:cs="Arial"/>
                <w:sz w:val="20"/>
                <w:szCs w:val="20"/>
              </w:rPr>
              <w:t>Т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. 333. – № 5. – </w:t>
            </w:r>
            <w:r w:rsidRPr="00F926FD">
              <w:rPr>
                <w:rFonts w:ascii="Arial" w:hAnsi="Arial" w:cs="Arial"/>
                <w:sz w:val="20"/>
                <w:szCs w:val="20"/>
              </w:rPr>
              <w:t>С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. 23-31.</w:t>
            </w:r>
          </w:p>
          <w:p w14:paraId="79827A0A" w14:textId="77777777" w:rsidR="002A692E" w:rsidRPr="00F926FD" w:rsidRDefault="002A692E" w:rsidP="00867542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t>3. Experimental and field applications of nan</w:t>
            </w:r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t>o</w:t>
            </w:r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t>tech-</w:t>
            </w:r>
            <w:proofErr w:type="spellStart"/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t>nology</w:t>
            </w:r>
            <w:proofErr w:type="spellEnd"/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t xml:space="preserve"> for enhanced oil recovery purposes: A review. 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Al-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Shargabi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, M. </w:t>
            </w:r>
          </w:p>
          <w:p w14:paraId="1D90C074" w14:textId="77777777" w:rsidR="002A692E" w:rsidRPr="00F926FD" w:rsidRDefault="002A692E" w:rsidP="00867542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Davoodi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, S. Wood, D.A. 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Rukavishnikov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, V.S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,  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HYPERLINK "https://www.scopus.com/authid/detail.uri?authorId=55596796500" </w:instrText>
            </w:r>
            <w:r w:rsidRPr="00F92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Minaev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>, K.</w:t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  Fuel, 2022, 324, 124669.</w:t>
            </w:r>
          </w:p>
          <w:p w14:paraId="5533EE7E" w14:textId="77777777" w:rsidR="002A692E" w:rsidRPr="00F926FD" w:rsidRDefault="002A692E" w:rsidP="00867542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</w:pP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t xml:space="preserve">4. </w:t>
            </w:r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t>Nanoparticle applications as beneficial oil and gas drilling fluid additives: A review.</w:t>
            </w:r>
          </w:p>
          <w:p w14:paraId="44513522" w14:textId="77777777" w:rsidR="002A692E" w:rsidRPr="00F926FD" w:rsidRDefault="002A692E" w:rsidP="00867542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</w:pPr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t>Al-</w:t>
            </w:r>
            <w:proofErr w:type="spellStart"/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t>Shargabi</w:t>
            </w:r>
            <w:proofErr w:type="spellEnd"/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t xml:space="preserve">, M.  </w:t>
            </w:r>
            <w:proofErr w:type="spellStart"/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t>Davoodi</w:t>
            </w:r>
            <w:proofErr w:type="spellEnd"/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t>, S.  Wood, D.A.,</w:t>
            </w:r>
          </w:p>
          <w:p w14:paraId="7A703FA0" w14:textId="77777777" w:rsidR="002A692E" w:rsidRPr="00F926FD" w:rsidRDefault="002A692E" w:rsidP="00867542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</w:pPr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t> 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926FD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HYPERLINK "https://www.scopus.com/authid/detail.uri?authorId=55596796500" </w:instrText>
            </w:r>
            <w:r w:rsidRPr="00F92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t>Minaev</w:t>
            </w:r>
            <w:proofErr w:type="spellEnd"/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t>, K.M.</w:t>
            </w:r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fldChar w:fldCharType="end"/>
            </w:r>
            <w:r w:rsidRPr="00F926FD">
              <w:rPr>
                <w:rFonts w:ascii="Arial" w:hAnsi="Arial" w:cs="Arial"/>
                <w:color w:val="2E2E2E"/>
                <w:sz w:val="20"/>
                <w:szCs w:val="20"/>
                <w:lang w:val="en-US"/>
              </w:rPr>
              <w:t xml:space="preserve">  Journal of Molecular Liquids, 2022, 352, 118725</w:t>
            </w:r>
          </w:p>
        </w:tc>
        <w:tc>
          <w:tcPr>
            <w:tcW w:w="3402" w:type="dxa"/>
          </w:tcPr>
          <w:p w14:paraId="3F45DB01" w14:textId="77777777" w:rsidR="002A692E" w:rsidRPr="00F926FD" w:rsidRDefault="002A692E" w:rsidP="008675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1. Системы буровых растворов для первичного вскрытия пр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дуктивных коллекторов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 xml:space="preserve"> сбо</w:t>
            </w:r>
            <w:r w:rsidRPr="00F926FD">
              <w:rPr>
                <w:rFonts w:ascii="Arial" w:hAnsi="Arial" w:cs="Arial"/>
                <w:sz w:val="20"/>
                <w:szCs w:val="20"/>
              </w:rPr>
              <w:t>р</w:t>
            </w:r>
            <w:r w:rsidRPr="00F926FD">
              <w:rPr>
                <w:rFonts w:ascii="Arial" w:hAnsi="Arial" w:cs="Arial"/>
                <w:sz w:val="20"/>
                <w:szCs w:val="20"/>
              </w:rPr>
              <w:t>нике: Труды XXVI Междунаро</w:t>
            </w:r>
            <w:r w:rsidRPr="00F926FD">
              <w:rPr>
                <w:rFonts w:ascii="Arial" w:hAnsi="Arial" w:cs="Arial"/>
                <w:sz w:val="20"/>
                <w:szCs w:val="20"/>
              </w:rPr>
              <w:t>д</w:t>
            </w:r>
            <w:r w:rsidRPr="00F926FD">
              <w:rPr>
                <w:rFonts w:ascii="Arial" w:hAnsi="Arial" w:cs="Arial"/>
                <w:sz w:val="20"/>
                <w:szCs w:val="20"/>
              </w:rPr>
              <w:t>ного симпозиума</w:t>
            </w:r>
          </w:p>
          <w:p w14:paraId="75EF9532" w14:textId="77777777" w:rsidR="002A692E" w:rsidRPr="00F926FD" w:rsidRDefault="002A692E" w:rsidP="008675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 xml:space="preserve">имени академика М.А. Усова студентов и молодых учёных, 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>посвященный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 xml:space="preserve"> 90-летию со дня рождения Н.М. Рассказова, 120-летию со дня рождения Л.Л.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Халфина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>, 50-летию нау</w:t>
            </w:r>
            <w:r w:rsidRPr="00F926FD">
              <w:rPr>
                <w:rFonts w:ascii="Arial" w:hAnsi="Arial" w:cs="Arial"/>
                <w:sz w:val="20"/>
                <w:szCs w:val="20"/>
              </w:rPr>
              <w:t>ч</w:t>
            </w:r>
            <w:r w:rsidRPr="00F926FD">
              <w:rPr>
                <w:rFonts w:ascii="Arial" w:hAnsi="Arial" w:cs="Arial"/>
                <w:sz w:val="20"/>
                <w:szCs w:val="20"/>
              </w:rPr>
              <w:t>ных молодежных конференций им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ни академика М.А. Усова. Томск, 2022. Том 2, С. 192-193.</w:t>
            </w:r>
          </w:p>
          <w:p w14:paraId="033B8538" w14:textId="77777777" w:rsidR="002A692E" w:rsidRPr="00F926FD" w:rsidRDefault="002A692E" w:rsidP="008675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2. Разработка блокирующих с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ставов для ликвидации погл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щений при глушении скв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жин. Материалы научно-практической конференции ПРАКТИЧЕСКИЕ АСПЕКТЫ НЕФТЕПРОМЫСЛОВОЙ Х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МИИ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>2022. С. 12-14.</w:t>
            </w:r>
          </w:p>
          <w:p w14:paraId="1D72781B" w14:textId="77777777" w:rsidR="002A692E" w:rsidRPr="00F926FD" w:rsidRDefault="002A692E" w:rsidP="008675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92E" w:rsidRPr="00F926FD" w14:paraId="7A94362F" w14:textId="77777777" w:rsidTr="00E05FBC">
        <w:tc>
          <w:tcPr>
            <w:tcW w:w="315" w:type="dxa"/>
          </w:tcPr>
          <w:p w14:paraId="365D269A" w14:textId="7C50F5C7" w:rsidR="002A692E" w:rsidRPr="00F926FD" w:rsidRDefault="002A692E" w:rsidP="00AE0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14:paraId="6E2692DA" w14:textId="77777777" w:rsidR="002A692E" w:rsidRPr="00F926FD" w:rsidRDefault="002A692E" w:rsidP="00AE0899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Краснощекова </w:t>
            </w:r>
          </w:p>
          <w:p w14:paraId="2E9EA049" w14:textId="58DCB9BE" w:rsidR="002A692E" w:rsidRPr="00F926FD" w:rsidRDefault="002A692E" w:rsidP="00AE0899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Любовь Аф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а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насье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в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на </w:t>
            </w:r>
          </w:p>
        </w:tc>
        <w:tc>
          <w:tcPr>
            <w:tcW w:w="1540" w:type="dxa"/>
          </w:tcPr>
          <w:p w14:paraId="1677EF28" w14:textId="5C009F94" w:rsidR="002A692E" w:rsidRPr="00F926FD" w:rsidRDefault="002A692E" w:rsidP="00AE0899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sz w:val="20"/>
                <w:szCs w:val="20"/>
              </w:rPr>
              <w:t>штатный</w:t>
            </w:r>
          </w:p>
        </w:tc>
        <w:tc>
          <w:tcPr>
            <w:tcW w:w="1579" w:type="dxa"/>
          </w:tcPr>
          <w:p w14:paraId="56CC10E5" w14:textId="77777777" w:rsidR="002A692E" w:rsidRPr="00F926FD" w:rsidRDefault="002A692E" w:rsidP="00AE0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К.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>г-м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>.н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>.,</w:t>
            </w:r>
          </w:p>
          <w:p w14:paraId="7579A5BF" w14:textId="6DB0FF73" w:rsidR="002A692E" w:rsidRPr="00F926FD" w:rsidRDefault="002A692E" w:rsidP="00AE0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 xml:space="preserve"> доцент, </w:t>
            </w:r>
          </w:p>
          <w:p w14:paraId="121E94D2" w14:textId="56D891C9" w:rsidR="002A692E" w:rsidRPr="00F926FD" w:rsidRDefault="002A692E" w:rsidP="00AE089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2835" w:type="dxa"/>
          </w:tcPr>
          <w:p w14:paraId="44490384" w14:textId="77777777" w:rsidR="002A692E" w:rsidRPr="00F926FD" w:rsidRDefault="002A692E" w:rsidP="002A6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В рамках направл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ния научных иссл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дований ТПУ</w:t>
            </w:r>
          </w:p>
          <w:p w14:paraId="4018A95B" w14:textId="77777777" w:rsidR="002A692E" w:rsidRPr="00F926FD" w:rsidRDefault="002A692E" w:rsidP="002A6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Геология, геохимия, минералогия:</w:t>
            </w:r>
          </w:p>
          <w:p w14:paraId="0D25F010" w14:textId="77777777" w:rsidR="002A692E" w:rsidRPr="00F926FD" w:rsidRDefault="002A692E" w:rsidP="002A6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Науки о Земле и сме</w:t>
            </w:r>
            <w:r w:rsidRPr="00F926FD">
              <w:rPr>
                <w:rFonts w:ascii="Arial" w:hAnsi="Arial" w:cs="Arial"/>
                <w:sz w:val="20"/>
                <w:szCs w:val="20"/>
              </w:rPr>
              <w:t>ж</w:t>
            </w:r>
            <w:r w:rsidRPr="00F926FD">
              <w:rPr>
                <w:rFonts w:ascii="Arial" w:hAnsi="Arial" w:cs="Arial"/>
                <w:sz w:val="20"/>
                <w:szCs w:val="20"/>
              </w:rPr>
              <w:t>ные экологические науки</w:t>
            </w:r>
          </w:p>
          <w:p w14:paraId="3F3E14F6" w14:textId="03774DCA" w:rsidR="002A692E" w:rsidRPr="00F926FD" w:rsidRDefault="002A692E" w:rsidP="002A692E">
            <w:pPr>
              <w:pStyle w:val="a6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(Приказ № 83-34 от 23.03.2020)</w:t>
            </w:r>
          </w:p>
          <w:p w14:paraId="4BB6F104" w14:textId="77777777" w:rsidR="002A692E" w:rsidRPr="00F926FD" w:rsidRDefault="002A692E" w:rsidP="00AE0899">
            <w:pPr>
              <w:pStyle w:val="a6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8F454B" w14:textId="18C858EE" w:rsidR="002A692E" w:rsidRPr="00F926FD" w:rsidRDefault="002A692E" w:rsidP="00AE0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lastRenderedPageBreak/>
              <w:t>Договор «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Газпро</w:t>
            </w:r>
            <w:r w:rsidRPr="00F926FD">
              <w:rPr>
                <w:rFonts w:ascii="Arial" w:hAnsi="Arial" w:cs="Arial"/>
                <w:sz w:val="20"/>
                <w:szCs w:val="20"/>
              </w:rPr>
              <w:t>м</w:t>
            </w:r>
            <w:r w:rsidRPr="00F926FD">
              <w:rPr>
                <w:rFonts w:ascii="Arial" w:hAnsi="Arial" w:cs="Arial"/>
                <w:sz w:val="20"/>
                <w:szCs w:val="20"/>
              </w:rPr>
              <w:t>нефть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>-НТЦ» «Форм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рование концепции геологии по пр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екту захоронения СО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26FD">
              <w:rPr>
                <w:rFonts w:ascii="Arial" w:hAnsi="Arial" w:cs="Arial"/>
                <w:sz w:val="20"/>
                <w:szCs w:val="20"/>
              </w:rPr>
              <w:br/>
              <w:t>на о. Сахалин» (2023)</w:t>
            </w:r>
          </w:p>
          <w:p w14:paraId="4B620FBC" w14:textId="77777777" w:rsidR="002A692E" w:rsidRPr="00F926FD" w:rsidRDefault="002A692E" w:rsidP="00AE0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E65E27" w14:textId="1F4C118D" w:rsidR="002A692E" w:rsidRPr="00F926FD" w:rsidRDefault="002A692E" w:rsidP="00AE0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Договор 10041 (№ 13.05-157/2023у) от 02.06.2023. «Провед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ние лабораторных и</w:t>
            </w:r>
            <w:r w:rsidRPr="00F926FD">
              <w:rPr>
                <w:rFonts w:ascii="Arial" w:hAnsi="Arial" w:cs="Arial"/>
                <w:sz w:val="20"/>
                <w:szCs w:val="20"/>
              </w:rPr>
              <w:t>с</w:t>
            </w:r>
            <w:r w:rsidRPr="00F926FD">
              <w:rPr>
                <w:rFonts w:ascii="Arial" w:hAnsi="Arial" w:cs="Arial"/>
                <w:sz w:val="20"/>
                <w:szCs w:val="20"/>
              </w:rPr>
              <w:t>следований по опред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лению петрографич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ского состава и опр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деления состава гру</w:t>
            </w:r>
            <w:r w:rsidRPr="00F926FD">
              <w:rPr>
                <w:rFonts w:ascii="Arial" w:hAnsi="Arial" w:cs="Arial"/>
                <w:sz w:val="20"/>
                <w:szCs w:val="20"/>
              </w:rPr>
              <w:t>н</w:t>
            </w:r>
            <w:r w:rsidRPr="00F926FD">
              <w:rPr>
                <w:rFonts w:ascii="Arial" w:hAnsi="Arial" w:cs="Arial"/>
                <w:sz w:val="20"/>
                <w:szCs w:val="20"/>
              </w:rPr>
              <w:t>тов» (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ТИУ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>,г</w:t>
            </w:r>
            <w:proofErr w:type="spellEnd"/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 xml:space="preserve">. Тюмень» </w:t>
            </w:r>
          </w:p>
          <w:p w14:paraId="35B6C67A" w14:textId="77777777" w:rsidR="002A692E" w:rsidRPr="00F926FD" w:rsidRDefault="002A692E" w:rsidP="00AE0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FB3ABE" w14:textId="0B1DEAE1" w:rsidR="002A692E" w:rsidRPr="00F926FD" w:rsidRDefault="002A692E" w:rsidP="00AE0899">
            <w:pPr>
              <w:pStyle w:val="a6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Договор</w:t>
            </w:r>
            <w:proofErr w:type="gramStart"/>
            <w:r w:rsidRPr="00F926FD"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 w:rsidRPr="00F926FD">
              <w:rPr>
                <w:rFonts w:ascii="Arial" w:hAnsi="Arial" w:cs="Arial"/>
                <w:sz w:val="20"/>
                <w:szCs w:val="20"/>
              </w:rPr>
              <w:t>/И-2045-22 от 01 августа 2023 г. Пр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ведение ко</w:t>
            </w:r>
            <w:r w:rsidRPr="00F926FD">
              <w:rPr>
                <w:rFonts w:ascii="Arial" w:hAnsi="Arial" w:cs="Arial"/>
                <w:sz w:val="20"/>
                <w:szCs w:val="20"/>
              </w:rPr>
              <w:t>м</w:t>
            </w:r>
            <w:r w:rsidRPr="00F926FD">
              <w:rPr>
                <w:rFonts w:ascii="Arial" w:hAnsi="Arial" w:cs="Arial"/>
                <w:sz w:val="20"/>
                <w:szCs w:val="20"/>
              </w:rPr>
              <w:t>плексного исследования проце</w:t>
            </w:r>
            <w:r w:rsidRPr="00F926FD">
              <w:rPr>
                <w:rFonts w:ascii="Arial" w:hAnsi="Arial" w:cs="Arial"/>
                <w:sz w:val="20"/>
                <w:szCs w:val="20"/>
              </w:rPr>
              <w:t>с</w:t>
            </w:r>
            <w:r w:rsidRPr="00F926FD">
              <w:rPr>
                <w:rFonts w:ascii="Arial" w:hAnsi="Arial" w:cs="Arial"/>
                <w:sz w:val="20"/>
                <w:szCs w:val="20"/>
              </w:rPr>
              <w:t>са образования тве</w:t>
            </w:r>
            <w:r w:rsidRPr="00F926FD">
              <w:rPr>
                <w:rFonts w:ascii="Arial" w:hAnsi="Arial" w:cs="Arial"/>
                <w:sz w:val="20"/>
                <w:szCs w:val="20"/>
              </w:rPr>
              <w:t>р</w:t>
            </w:r>
            <w:r w:rsidRPr="00F926FD">
              <w:rPr>
                <w:rFonts w:ascii="Arial" w:hAnsi="Arial" w:cs="Arial"/>
                <w:sz w:val="20"/>
                <w:szCs w:val="20"/>
              </w:rPr>
              <w:t>дых отложений в с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стеме подготовки нефти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Чаяндинского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НГКМ.</w:t>
            </w:r>
          </w:p>
          <w:p w14:paraId="6B095CD8" w14:textId="77777777" w:rsidR="002A692E" w:rsidRPr="00F926FD" w:rsidRDefault="002A692E" w:rsidP="00AE0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A8CA5B" w14:textId="6512C178" w:rsidR="002A692E" w:rsidRPr="00F926FD" w:rsidRDefault="002A692E" w:rsidP="00AE0899">
            <w:pPr>
              <w:pStyle w:val="a6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Договор №  COR-2020-C7 c ООО № «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Корэтест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сервис» от 01.06.2020 г. (13.12.-401/2020у) и ФГАОУ ВО ТПУ. Пр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ект П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леозой. </w:t>
            </w:r>
          </w:p>
          <w:p w14:paraId="2D105AB8" w14:textId="2C67B4F3" w:rsidR="002A692E" w:rsidRPr="00F926FD" w:rsidRDefault="002A692E" w:rsidP="00AE0899">
            <w:pPr>
              <w:pStyle w:val="a6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Выявление особенн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стей состава и стро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ния коллекторов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дою</w:t>
            </w:r>
            <w:r w:rsidRPr="00F926FD">
              <w:rPr>
                <w:rFonts w:ascii="Arial" w:hAnsi="Arial" w:cs="Arial"/>
                <w:sz w:val="20"/>
                <w:szCs w:val="20"/>
              </w:rPr>
              <w:t>р</w:t>
            </w:r>
            <w:r w:rsidRPr="00F926FD">
              <w:rPr>
                <w:rFonts w:ascii="Arial" w:hAnsi="Arial" w:cs="Arial"/>
                <w:sz w:val="20"/>
                <w:szCs w:val="20"/>
              </w:rPr>
              <w:t>ского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комплекса То</w:t>
            </w:r>
            <w:r w:rsidRPr="00F926FD">
              <w:rPr>
                <w:rFonts w:ascii="Arial" w:hAnsi="Arial" w:cs="Arial"/>
                <w:sz w:val="20"/>
                <w:szCs w:val="20"/>
              </w:rPr>
              <w:t>м</w:t>
            </w:r>
            <w:r w:rsidRPr="00F926FD">
              <w:rPr>
                <w:rFonts w:ascii="Arial" w:hAnsi="Arial" w:cs="Arial"/>
                <w:sz w:val="20"/>
                <w:szCs w:val="20"/>
              </w:rPr>
              <w:t>ской о</w:t>
            </w:r>
            <w:r w:rsidRPr="00F926FD">
              <w:rPr>
                <w:rFonts w:ascii="Arial" w:hAnsi="Arial" w:cs="Arial"/>
                <w:sz w:val="20"/>
                <w:szCs w:val="20"/>
              </w:rPr>
              <w:t>б</w:t>
            </w:r>
            <w:r w:rsidRPr="00F926FD">
              <w:rPr>
                <w:rFonts w:ascii="Arial" w:hAnsi="Arial" w:cs="Arial"/>
                <w:sz w:val="20"/>
                <w:szCs w:val="20"/>
              </w:rPr>
              <w:t>ласти с целью обоснования литолог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ческих критериев пр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lastRenderedPageBreak/>
              <w:t>гноза потенц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ально-продуктивных интерв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лов Этап 1. Выя</w:t>
            </w:r>
            <w:r w:rsidRPr="00F926FD">
              <w:rPr>
                <w:rFonts w:ascii="Arial" w:hAnsi="Arial" w:cs="Arial"/>
                <w:sz w:val="20"/>
                <w:szCs w:val="20"/>
              </w:rPr>
              <w:t>в</w:t>
            </w:r>
            <w:r w:rsidRPr="00F926FD">
              <w:rPr>
                <w:rFonts w:ascii="Arial" w:hAnsi="Arial" w:cs="Arial"/>
                <w:sz w:val="20"/>
                <w:szCs w:val="20"/>
              </w:rPr>
              <w:t>ление особенностей состава и строения коллект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ров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доюрского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ко</w:t>
            </w:r>
            <w:r w:rsidRPr="00F926FD">
              <w:rPr>
                <w:rFonts w:ascii="Arial" w:hAnsi="Arial" w:cs="Arial"/>
                <w:sz w:val="20"/>
                <w:szCs w:val="20"/>
              </w:rPr>
              <w:t>м</w:t>
            </w:r>
            <w:r w:rsidRPr="00F926FD">
              <w:rPr>
                <w:rFonts w:ascii="Arial" w:hAnsi="Arial" w:cs="Arial"/>
                <w:sz w:val="20"/>
                <w:szCs w:val="20"/>
              </w:rPr>
              <w:t>плекса на основе ан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лиза и обобщения р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зультатов исследов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ния керна.</w:t>
            </w:r>
          </w:p>
          <w:p w14:paraId="21958BF2" w14:textId="77777777" w:rsidR="002A692E" w:rsidRPr="00F926FD" w:rsidRDefault="002A692E" w:rsidP="00AE08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Этап II. Обоснование литологических крит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риев прогноза поте</w:t>
            </w:r>
            <w:r w:rsidRPr="00F926FD">
              <w:rPr>
                <w:rFonts w:ascii="Arial" w:hAnsi="Arial" w:cs="Arial"/>
                <w:sz w:val="20"/>
                <w:szCs w:val="20"/>
              </w:rPr>
              <w:t>н</w:t>
            </w:r>
            <w:r w:rsidRPr="00F926FD">
              <w:rPr>
                <w:rFonts w:ascii="Arial" w:hAnsi="Arial" w:cs="Arial"/>
                <w:sz w:val="20"/>
                <w:szCs w:val="20"/>
              </w:rPr>
              <w:t>циально-продуктивных инте</w:t>
            </w:r>
            <w:r w:rsidRPr="00F926FD">
              <w:rPr>
                <w:rFonts w:ascii="Arial" w:hAnsi="Arial" w:cs="Arial"/>
                <w:sz w:val="20"/>
                <w:szCs w:val="20"/>
              </w:rPr>
              <w:t>р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валов в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доюрском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комплексе.</w:t>
            </w:r>
          </w:p>
          <w:p w14:paraId="01268933" w14:textId="77777777" w:rsidR="002A692E" w:rsidRPr="00F926FD" w:rsidRDefault="002A692E" w:rsidP="00AE08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0244F7" w14:textId="416EBFCD" w:rsidR="002A692E" w:rsidRPr="00F926FD" w:rsidRDefault="002A692E" w:rsidP="00AE08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Договор  № 135ГПС/20 (№ 10217 от 27.08.2020 (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вн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>. № 13.01-236/2020у)) Томск, 2021. Комплексное и</w:t>
            </w:r>
            <w:r w:rsidRPr="00F926FD">
              <w:rPr>
                <w:rFonts w:ascii="Arial" w:hAnsi="Arial" w:cs="Arial"/>
                <w:sz w:val="20"/>
                <w:szCs w:val="20"/>
              </w:rPr>
              <w:t>с</w:t>
            </w:r>
            <w:r w:rsidRPr="00F926FD">
              <w:rPr>
                <w:rFonts w:ascii="Arial" w:hAnsi="Arial" w:cs="Arial"/>
                <w:sz w:val="20"/>
                <w:szCs w:val="20"/>
              </w:rPr>
              <w:t>следование керна скважин № 52 Але</w:t>
            </w:r>
            <w:r w:rsidRPr="00F926FD">
              <w:rPr>
                <w:rFonts w:ascii="Arial" w:hAnsi="Arial" w:cs="Arial"/>
                <w:sz w:val="20"/>
                <w:szCs w:val="20"/>
              </w:rPr>
              <w:t>к</w:t>
            </w:r>
            <w:r w:rsidRPr="00F926FD">
              <w:rPr>
                <w:rFonts w:ascii="Arial" w:hAnsi="Arial" w:cs="Arial"/>
                <w:sz w:val="20"/>
                <w:szCs w:val="20"/>
              </w:rPr>
              <w:t>сандровского лиценз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онного участка Оре</w:t>
            </w:r>
            <w:r w:rsidRPr="00F926FD">
              <w:rPr>
                <w:rFonts w:ascii="Arial" w:hAnsi="Arial" w:cs="Arial"/>
                <w:sz w:val="20"/>
                <w:szCs w:val="20"/>
              </w:rPr>
              <w:t>н</w:t>
            </w:r>
            <w:r w:rsidRPr="00F926FD">
              <w:rPr>
                <w:rFonts w:ascii="Arial" w:hAnsi="Arial" w:cs="Arial"/>
                <w:sz w:val="20"/>
                <w:szCs w:val="20"/>
              </w:rPr>
              <w:t>бургской о</w:t>
            </w:r>
            <w:r w:rsidRPr="00F926FD">
              <w:rPr>
                <w:rFonts w:ascii="Arial" w:hAnsi="Arial" w:cs="Arial"/>
                <w:sz w:val="20"/>
                <w:szCs w:val="20"/>
              </w:rPr>
              <w:t>б</w:t>
            </w:r>
            <w:r w:rsidRPr="00F926FD">
              <w:rPr>
                <w:rFonts w:ascii="Arial" w:hAnsi="Arial" w:cs="Arial"/>
                <w:sz w:val="20"/>
                <w:szCs w:val="20"/>
              </w:rPr>
              <w:t>ласти</w:t>
            </w:r>
          </w:p>
          <w:p w14:paraId="251CA3B4" w14:textId="77777777" w:rsidR="002A692E" w:rsidRPr="00F926FD" w:rsidRDefault="002A692E" w:rsidP="00AE08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85DC71" w14:textId="50C0F430" w:rsidR="002A692E" w:rsidRPr="00F926FD" w:rsidRDefault="002A692E" w:rsidP="00AE08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>Договор № 110ОГТ/20 (№ 10204 от 27.08.2020 (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вн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>. № 13.01-237/2020у)). Томск, 2021 г. Ко</w:t>
            </w:r>
            <w:r w:rsidRPr="00F926FD">
              <w:rPr>
                <w:rFonts w:ascii="Arial" w:hAnsi="Arial" w:cs="Arial"/>
                <w:sz w:val="20"/>
                <w:szCs w:val="20"/>
              </w:rPr>
              <w:t>м</w:t>
            </w:r>
            <w:r w:rsidRPr="00F926FD">
              <w:rPr>
                <w:rFonts w:ascii="Arial" w:hAnsi="Arial" w:cs="Arial"/>
                <w:sz w:val="20"/>
                <w:szCs w:val="20"/>
              </w:rPr>
              <w:t>плексное исследов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ние керна скважин № 909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Аш</w:t>
            </w:r>
            <w:r w:rsidRPr="00F926FD">
              <w:rPr>
                <w:rFonts w:ascii="Arial" w:hAnsi="Arial" w:cs="Arial"/>
                <w:sz w:val="20"/>
                <w:szCs w:val="20"/>
              </w:rPr>
              <w:t>и</w:t>
            </w:r>
            <w:r w:rsidRPr="00F926FD">
              <w:rPr>
                <w:rFonts w:ascii="Arial" w:hAnsi="Arial" w:cs="Arial"/>
                <w:sz w:val="20"/>
                <w:szCs w:val="20"/>
              </w:rPr>
              <w:t>ровского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месторожд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ния Оренбургской о</w:t>
            </w:r>
            <w:r w:rsidRPr="00F926FD">
              <w:rPr>
                <w:rFonts w:ascii="Arial" w:hAnsi="Arial" w:cs="Arial"/>
                <w:sz w:val="20"/>
                <w:szCs w:val="20"/>
              </w:rPr>
              <w:t>б</w:t>
            </w:r>
            <w:r w:rsidRPr="00F926FD">
              <w:rPr>
                <w:rFonts w:ascii="Arial" w:hAnsi="Arial" w:cs="Arial"/>
                <w:sz w:val="20"/>
                <w:szCs w:val="20"/>
              </w:rPr>
              <w:t>ласти.</w:t>
            </w:r>
          </w:p>
          <w:p w14:paraId="2177FB13" w14:textId="77777777" w:rsidR="002A692E" w:rsidRPr="00F926FD" w:rsidRDefault="002A692E" w:rsidP="00AE08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C9EFBB" w14:textId="1564B1AD" w:rsidR="002A692E" w:rsidRPr="00F926FD" w:rsidRDefault="002A692E" w:rsidP="00AE0899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t xml:space="preserve">Договор № 013СИН/20 </w:t>
            </w:r>
            <w:r w:rsidRPr="00F926FD">
              <w:rPr>
                <w:rFonts w:ascii="Arial" w:hAnsi="Arial" w:cs="Arial"/>
                <w:sz w:val="20"/>
                <w:szCs w:val="20"/>
              </w:rPr>
              <w:lastRenderedPageBreak/>
              <w:t>(№ 10199 от 27.08.2020 (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вн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>. № 13.01-238/2020у)) 2021 г. Комплексное исслед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вание керна скважин № 2 Озерного месторо</w:t>
            </w:r>
            <w:r w:rsidRPr="00F926FD">
              <w:rPr>
                <w:rFonts w:ascii="Arial" w:hAnsi="Arial" w:cs="Arial"/>
                <w:sz w:val="20"/>
                <w:szCs w:val="20"/>
              </w:rPr>
              <w:t>ж</w:t>
            </w:r>
            <w:r w:rsidRPr="00F926FD">
              <w:rPr>
                <w:rFonts w:ascii="Arial" w:hAnsi="Arial" w:cs="Arial"/>
                <w:sz w:val="20"/>
                <w:szCs w:val="20"/>
              </w:rPr>
              <w:t>дения Оренбургской обл</w:t>
            </w:r>
            <w:r w:rsidRPr="00F926FD">
              <w:rPr>
                <w:rFonts w:ascii="Arial" w:hAnsi="Arial" w:cs="Arial"/>
                <w:sz w:val="20"/>
                <w:szCs w:val="20"/>
              </w:rPr>
              <w:t>а</w:t>
            </w:r>
            <w:r w:rsidRPr="00F926FD">
              <w:rPr>
                <w:rFonts w:ascii="Arial" w:hAnsi="Arial" w:cs="Arial"/>
                <w:sz w:val="20"/>
                <w:szCs w:val="20"/>
              </w:rPr>
              <w:t>сти.</w:t>
            </w:r>
          </w:p>
          <w:p w14:paraId="3A3FF41C" w14:textId="767235C4" w:rsidR="002A692E" w:rsidRPr="00F926FD" w:rsidRDefault="002A692E" w:rsidP="00AE0899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085A22" w14:textId="745CD29D" w:rsidR="002A692E" w:rsidRPr="00F926FD" w:rsidRDefault="002A692E" w:rsidP="00AE0899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Краснощёкова Л.А., Вологдина И.В., Гарсия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Бальса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А.С. Кора выветривания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доюрского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комплекса Калинового месторождения угл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водородов Томской области: особенности состава и строения // Известия Томского п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о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литехнического университета.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Инжиринг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г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оресурсов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2024. Т. 335, № 6. С. 160‒174.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DOI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: 10.18799/24131830/2024/6/4699 </w:t>
            </w:r>
          </w:p>
          <w:p w14:paraId="3076A29E" w14:textId="77777777" w:rsidR="002A692E" w:rsidRPr="00F926FD" w:rsidRDefault="002A692E" w:rsidP="00AE0899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FF2EC46" w14:textId="7BF1D29E" w:rsidR="002A692E" w:rsidRPr="00F926FD" w:rsidRDefault="002A692E" w:rsidP="00AE0899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S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Garcia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L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Krasnoshchekova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Irfan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Sha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ban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Asaad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B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Belozerov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Ali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Ismail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Al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lastRenderedPageBreak/>
              <w:t>Juboury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Do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l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omitization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in the Upper Paleozoic succession of the north-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Ostaninsk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field,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Nyurolsk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Basin, Western Siberia: Implications for hydr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o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carbon exploration. Marine and Petroleum Geo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l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ogy, 2023. V.152. </w:t>
            </w:r>
            <w:hyperlink r:id="rId8" w:history="1">
              <w:r w:rsidRPr="00F926FD">
                <w:rPr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https://doi.org/10.1016/j.marpetgeo.2023.106217</w:t>
              </w:r>
            </w:hyperlink>
          </w:p>
          <w:p w14:paraId="27BC24F1" w14:textId="77777777" w:rsidR="002A692E" w:rsidRPr="00F926FD" w:rsidRDefault="002A692E" w:rsidP="00AE0899">
            <w:pPr>
              <w:shd w:val="clear" w:color="auto" w:fill="FFFFFF"/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6370E56C" w14:textId="77777777" w:rsidR="002A692E" w:rsidRPr="00F926FD" w:rsidRDefault="002A692E" w:rsidP="00AE0899">
            <w:pPr>
              <w:pStyle w:val="a6"/>
              <w:spacing w:line="240" w:lineRule="auto"/>
              <w:ind w:left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Черданцева Д.А., Краснощекова Л.А. Вещ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стве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н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ный состав и условия формирования продуктивных песчаников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Пур-Тазовской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нефтегазоносной области (на примере Л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о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дочного месторождения).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Геосферные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с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следования. – 2021. – №2. – С.44-59. </w:t>
            </w:r>
            <w:hyperlink r:id="rId9" w:history="1">
              <w:r w:rsidRPr="00F926FD">
                <w:rPr>
                  <w:rFonts w:ascii="Arial" w:eastAsia="Times New Roman" w:hAnsi="Arial" w:cs="Arial"/>
                  <w:bCs/>
                  <w:sz w:val="20"/>
                  <w:szCs w:val="20"/>
                </w:rPr>
                <w:t>https://doi.org/10.17223/25421379/19/4</w:t>
              </w:r>
            </w:hyperlink>
          </w:p>
          <w:p w14:paraId="7D1E5BA3" w14:textId="77777777" w:rsidR="002A692E" w:rsidRPr="00F926FD" w:rsidRDefault="002A692E" w:rsidP="00AE0899">
            <w:pPr>
              <w:pStyle w:val="a6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0993F7" w14:textId="277E4578" w:rsidR="002A692E" w:rsidRPr="00F926FD" w:rsidRDefault="002A692E" w:rsidP="00AE0899">
            <w:pPr>
              <w:pStyle w:val="a6"/>
              <w:autoSpaceDE w:val="0"/>
              <w:autoSpaceDN w:val="0"/>
              <w:spacing w:line="240" w:lineRule="auto"/>
              <w:ind w:left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Черданцева Д.А., Кравченко Г.Г., Краснощ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кова Л.А. Влияние литологических особенн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о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стей нефтеносных песчаников на их фил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ь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трационно-емкостные параметры в проду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к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тивных отложениях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Пур-Тазовской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нефт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носной области. Успехи современного ест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ств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о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знания. – 2021. – № 10 – С. 81-88. DOI 10.17513/use.37702 </w:t>
            </w:r>
          </w:p>
          <w:p w14:paraId="4284BC60" w14:textId="0B312ED1" w:rsidR="002A692E" w:rsidRPr="00F926FD" w:rsidRDefault="002A692E" w:rsidP="00D63C39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07CE8BD" w14:textId="77777777" w:rsidR="00FD0A86" w:rsidRPr="00F926FD" w:rsidRDefault="00FD0A86" w:rsidP="00FD0A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6FD">
              <w:rPr>
                <w:rFonts w:ascii="Arial" w:hAnsi="Arial" w:cs="Arial"/>
                <w:sz w:val="20"/>
                <w:szCs w:val="20"/>
              </w:rPr>
              <w:lastRenderedPageBreak/>
              <w:t xml:space="preserve">Краснощекова Л.А.,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Бальса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Га</w:t>
            </w:r>
            <w:r w:rsidRPr="00F926FD">
              <w:rPr>
                <w:rFonts w:ascii="Arial" w:hAnsi="Arial" w:cs="Arial"/>
                <w:sz w:val="20"/>
                <w:szCs w:val="20"/>
              </w:rPr>
              <w:t>р</w:t>
            </w:r>
            <w:r w:rsidRPr="00F926FD">
              <w:rPr>
                <w:rFonts w:ascii="Arial" w:hAnsi="Arial" w:cs="Arial"/>
                <w:sz w:val="20"/>
                <w:szCs w:val="20"/>
              </w:rPr>
              <w:t>сия А.С.. Белозеров В.Б. Ген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зис вторичного доломита в ка</w:t>
            </w:r>
            <w:r w:rsidRPr="00F926FD">
              <w:rPr>
                <w:rFonts w:ascii="Arial" w:hAnsi="Arial" w:cs="Arial"/>
                <w:sz w:val="20"/>
                <w:szCs w:val="20"/>
              </w:rPr>
              <w:t>р</w:t>
            </w:r>
            <w:r w:rsidRPr="00F926FD">
              <w:rPr>
                <w:rFonts w:ascii="Arial" w:hAnsi="Arial" w:cs="Arial"/>
                <w:sz w:val="20"/>
                <w:szCs w:val="20"/>
              </w:rPr>
              <w:t>бонатных нефтеносных отлож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>ниях дев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на Северо-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Останинского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 месторождения, Западная Сибирь: данные и</w:t>
            </w:r>
            <w:r w:rsidRPr="00F926FD">
              <w:rPr>
                <w:rFonts w:ascii="Arial" w:hAnsi="Arial" w:cs="Arial"/>
                <w:sz w:val="20"/>
                <w:szCs w:val="20"/>
              </w:rPr>
              <w:t>с</w:t>
            </w:r>
            <w:r w:rsidRPr="00F926FD">
              <w:rPr>
                <w:rFonts w:ascii="Arial" w:hAnsi="Arial" w:cs="Arial"/>
                <w:sz w:val="20"/>
                <w:szCs w:val="20"/>
              </w:rPr>
              <w:t>следований газово-жидких включ</w:t>
            </w:r>
            <w:r w:rsidRPr="00F926FD">
              <w:rPr>
                <w:rFonts w:ascii="Arial" w:hAnsi="Arial" w:cs="Arial"/>
                <w:sz w:val="20"/>
                <w:szCs w:val="20"/>
              </w:rPr>
              <w:t>е</w:t>
            </w:r>
            <w:r w:rsidRPr="00F926FD">
              <w:rPr>
                <w:rFonts w:ascii="Arial" w:hAnsi="Arial" w:cs="Arial"/>
                <w:sz w:val="20"/>
                <w:szCs w:val="20"/>
              </w:rPr>
              <w:t xml:space="preserve">ний. / XIX Всероссийская конференция по </w:t>
            </w:r>
            <w:proofErr w:type="spellStart"/>
            <w:r w:rsidRPr="00F926FD">
              <w:rPr>
                <w:rFonts w:ascii="Arial" w:hAnsi="Arial" w:cs="Arial"/>
                <w:sz w:val="20"/>
                <w:szCs w:val="20"/>
              </w:rPr>
              <w:t>термобароге</w:t>
            </w:r>
            <w:r w:rsidRPr="00F926FD">
              <w:rPr>
                <w:rFonts w:ascii="Arial" w:hAnsi="Arial" w:cs="Arial"/>
                <w:sz w:val="20"/>
                <w:szCs w:val="20"/>
              </w:rPr>
              <w:t>о</w:t>
            </w:r>
            <w:r w:rsidRPr="00F926FD">
              <w:rPr>
                <w:rFonts w:ascii="Arial" w:hAnsi="Arial" w:cs="Arial"/>
                <w:sz w:val="20"/>
                <w:szCs w:val="20"/>
              </w:rPr>
              <w:t>химии</w:t>
            </w:r>
            <w:proofErr w:type="spellEnd"/>
            <w:r w:rsidRPr="00F926FD">
              <w:rPr>
                <w:rFonts w:ascii="Arial" w:hAnsi="Arial" w:cs="Arial"/>
                <w:sz w:val="20"/>
                <w:szCs w:val="20"/>
              </w:rPr>
              <w:t xml:space="preserve">, посвященная памяти </w:t>
            </w:r>
            <w:r w:rsidRPr="00F926FD">
              <w:rPr>
                <w:rFonts w:ascii="Arial" w:hAnsi="Arial" w:cs="Arial"/>
                <w:sz w:val="20"/>
                <w:szCs w:val="20"/>
              </w:rPr>
              <w:lastRenderedPageBreak/>
              <w:t>И.Т. Бакуменко. Новосибирск, 10–13 о</w:t>
            </w:r>
            <w:r w:rsidRPr="00F926FD">
              <w:rPr>
                <w:rFonts w:ascii="Arial" w:hAnsi="Arial" w:cs="Arial"/>
                <w:sz w:val="20"/>
                <w:szCs w:val="20"/>
              </w:rPr>
              <w:t>к</w:t>
            </w:r>
            <w:r w:rsidRPr="00F926FD">
              <w:rPr>
                <w:rFonts w:ascii="Arial" w:hAnsi="Arial" w:cs="Arial"/>
                <w:sz w:val="20"/>
                <w:szCs w:val="20"/>
              </w:rPr>
              <w:t>тября 2022 год</w:t>
            </w:r>
          </w:p>
          <w:p w14:paraId="4A6FDCF8" w14:textId="77777777" w:rsidR="00FD0A86" w:rsidRPr="00F926FD" w:rsidRDefault="00FD0A86" w:rsidP="00AE0899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B8CF6E0" w14:textId="3A997CAF" w:rsidR="002A692E" w:rsidRPr="00F926FD" w:rsidRDefault="002A692E" w:rsidP="00AE0899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Краснощекова Л.А., Волкова А.А., Меркулов В.П., Давид М.А.,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Серкина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Г.А. Сравнител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ь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ный анализ методов определ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ния трещиноватости карбона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т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ных коллекторов =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Comparative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Analysis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of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Methods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for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Determining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Fracture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carbonate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Reservoirs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/ Европейская асс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о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циация геологов и и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н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женеров. </w:t>
            </w:r>
            <w:hyperlink r:id="rId10" w:history="1">
              <w:r w:rsidRPr="00F926FD">
                <w:rPr>
                  <w:rFonts w:ascii="Arial" w:eastAsia="Times New Roman" w:hAnsi="Arial" w:cs="Arial"/>
                  <w:bCs/>
                  <w:sz w:val="20"/>
                  <w:szCs w:val="20"/>
                </w:rPr>
                <w:t>Материалы конфере</w:t>
              </w:r>
              <w:r w:rsidRPr="00F926FD">
                <w:rPr>
                  <w:rFonts w:ascii="Arial" w:eastAsia="Times New Roman" w:hAnsi="Arial" w:cs="Arial"/>
                  <w:bCs/>
                  <w:sz w:val="20"/>
                  <w:szCs w:val="20"/>
                </w:rPr>
                <w:t>н</w:t>
              </w:r>
              <w:r w:rsidRPr="00F926FD">
                <w:rPr>
                  <w:rFonts w:ascii="Arial" w:eastAsia="Times New Roman" w:hAnsi="Arial" w:cs="Arial"/>
                  <w:bCs/>
                  <w:sz w:val="20"/>
                  <w:szCs w:val="20"/>
                </w:rPr>
                <w:t>ции</w:t>
              </w:r>
            </w:hyperlink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, </w:t>
            </w:r>
            <w:hyperlink r:id="rId11" w:history="1">
              <w:r w:rsidRPr="00F926FD">
                <w:rPr>
                  <w:rFonts w:ascii="Arial" w:eastAsia="Times New Roman" w:hAnsi="Arial" w:cs="Arial"/>
                  <w:bCs/>
                  <w:sz w:val="20"/>
                  <w:szCs w:val="20"/>
                </w:rPr>
                <w:t>Тюмень, 2021</w:t>
              </w:r>
            </w:hyperlink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 , март 2021, Том 2021, стр.1-5.=  </w:t>
            </w:r>
            <w:hyperlink r:id="rId12" w:history="1">
              <w:r w:rsidRPr="00F926FD">
                <w:rPr>
                  <w:rFonts w:ascii="Arial" w:eastAsia="Times New Roman" w:hAnsi="Arial" w:cs="Arial"/>
                  <w:bCs/>
                  <w:sz w:val="20"/>
                  <w:szCs w:val="20"/>
                </w:rPr>
                <w:t>Conference Proceedings</w:t>
              </w:r>
            </w:hyperlink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, </w:t>
            </w:r>
            <w:hyperlink r:id="rId13" w:history="1">
              <w:r w:rsidRPr="00F926FD">
                <w:rPr>
                  <w:rFonts w:ascii="Arial" w:eastAsia="Times New Roman" w:hAnsi="Arial" w:cs="Arial"/>
                  <w:bCs/>
                  <w:sz w:val="20"/>
                  <w:szCs w:val="20"/>
                </w:rPr>
                <w:t>Tyumen 2021</w:t>
              </w:r>
            </w:hyperlink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Mar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2021,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Volume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2021, p.1 – 5. DOI: </w:t>
            </w:r>
            <w:hyperlink r:id="rId14" w:history="1">
              <w:r w:rsidRPr="00F926FD">
                <w:rPr>
                  <w:rFonts w:ascii="Arial" w:eastAsia="Times New Roman" w:hAnsi="Arial" w:cs="Arial"/>
                  <w:bCs/>
                  <w:sz w:val="20"/>
                  <w:szCs w:val="20"/>
                </w:rPr>
                <w:t>https://doi.org/10.3997/2214-4609.202150073</w:t>
              </w:r>
            </w:hyperlink>
          </w:p>
          <w:p w14:paraId="29E7C339" w14:textId="77777777" w:rsidR="002A692E" w:rsidRPr="00F926FD" w:rsidRDefault="002A692E" w:rsidP="00AE0899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6A8FE2D" w14:textId="77777777" w:rsidR="002A692E" w:rsidRPr="00F926FD" w:rsidRDefault="002A692E" w:rsidP="00AE0899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Cherdantseva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D.A.,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Krasnoschekova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L.A.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Sedimentology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and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diagenesis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of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unique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lower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cretaceous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«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vankor-type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»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sandstone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reservoirs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Western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Siberian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basin</w:t>
            </w:r>
            <w:proofErr w:type="spell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/ Пр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о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блемы геологии и освоения недр</w:t>
            </w:r>
            <w:proofErr w:type="gramStart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:</w:t>
            </w:r>
            <w:proofErr w:type="gramEnd"/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труды XXV Междунаро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д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ного симпозиума имени акад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мика М.А. Усова студентов и мол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о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дых ученых, посвященного 120-летию горно-геологического образования в Сибири, 125-летию со дня основания Томск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о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го политехнического универс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и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тета. Том 2 / Томский полите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х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нический ун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и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верситет. – Томск: Изд-во Томского политехнич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ского университета, 2021. – </w:t>
            </w: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С.516-518.</w:t>
            </w:r>
          </w:p>
          <w:p w14:paraId="725685D4" w14:textId="77777777" w:rsidR="002A692E" w:rsidRPr="00F926FD" w:rsidRDefault="002A692E" w:rsidP="00AE0899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BFEA307" w14:textId="1A6E1162" w:rsidR="002A692E" w:rsidRPr="00F926FD" w:rsidRDefault="002A692E" w:rsidP="00AE0899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516E5D"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Черданцева Д. А., Краснощек</w:t>
            </w:r>
            <w:r w:rsidR="00516E5D"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о</w:t>
            </w:r>
            <w:r w:rsidR="00516E5D"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ва Л. А. Особенности эпиген</w:t>
            </w:r>
            <w:r w:rsidR="00516E5D"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r w:rsidR="00516E5D"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тического преобразования пе</w:t>
            </w:r>
            <w:r w:rsidR="00516E5D"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с</w:t>
            </w:r>
            <w:r w:rsidR="00516E5D"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чаных пород-коллекторов </w:t>
            </w:r>
            <w:proofErr w:type="spellStart"/>
            <w:r w:rsidR="00516E5D"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Пур-Тазовской</w:t>
            </w:r>
            <w:proofErr w:type="spellEnd"/>
            <w:r w:rsidR="00516E5D"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нефтеносной зоны //Новые идеи в науках о Земле. / Материалы XV Межд</w:t>
            </w:r>
            <w:r w:rsidR="00516E5D"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у</w:t>
            </w:r>
            <w:r w:rsidR="00516E5D"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народной научно-практической конфере</w:t>
            </w:r>
            <w:r w:rsidR="00516E5D"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н</w:t>
            </w:r>
            <w:r w:rsidR="00516E5D"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>ции. В 7-ми томах.– 2021. – С. 184-187.</w:t>
            </w:r>
          </w:p>
          <w:p w14:paraId="07DDDC08" w14:textId="77777777" w:rsidR="002A692E" w:rsidRPr="00F926FD" w:rsidRDefault="002A692E" w:rsidP="00AE0899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93B7F6B" w14:textId="4E89002B" w:rsidR="002A692E" w:rsidRPr="00F926FD" w:rsidRDefault="002A692E" w:rsidP="00AE0899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926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22EFB544" w14:textId="77777777" w:rsidR="002C462D" w:rsidRPr="00F926FD" w:rsidRDefault="002C462D" w:rsidP="00AE0899">
      <w:pPr>
        <w:jc w:val="both"/>
        <w:rPr>
          <w:rFonts w:ascii="Arial" w:hAnsi="Arial" w:cs="Arial"/>
          <w:sz w:val="20"/>
          <w:szCs w:val="20"/>
        </w:rPr>
      </w:pPr>
    </w:p>
    <w:p w14:paraId="58A738C8" w14:textId="58B82C39" w:rsidR="009342DE" w:rsidRPr="00F926FD" w:rsidRDefault="009342DE" w:rsidP="009342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26FD">
        <w:rPr>
          <w:rFonts w:ascii="Arial" w:hAnsi="Arial" w:cs="Arial"/>
          <w:sz w:val="20"/>
          <w:szCs w:val="20"/>
        </w:rPr>
        <w:t>Проректор по НСП  ______________</w:t>
      </w:r>
      <w:r w:rsidRPr="00F926FD">
        <w:rPr>
          <w:rFonts w:ascii="Arial" w:hAnsi="Arial" w:cs="Arial"/>
          <w:sz w:val="20"/>
          <w:szCs w:val="20"/>
        </w:rPr>
        <w:tab/>
        <w:t>А.С. Гоголев</w:t>
      </w:r>
    </w:p>
    <w:p w14:paraId="223A3031" w14:textId="77777777" w:rsidR="009342DE" w:rsidRPr="00F926FD" w:rsidRDefault="009342DE" w:rsidP="009342DE">
      <w:pPr>
        <w:rPr>
          <w:rFonts w:ascii="Arial" w:hAnsi="Arial" w:cs="Arial"/>
          <w:sz w:val="20"/>
          <w:szCs w:val="20"/>
        </w:rPr>
      </w:pPr>
    </w:p>
    <w:p w14:paraId="2D5791FB" w14:textId="30B8C065" w:rsidR="009342DE" w:rsidRPr="00F926FD" w:rsidRDefault="009342DE" w:rsidP="009342DE">
      <w:pPr>
        <w:rPr>
          <w:rFonts w:ascii="Arial" w:hAnsi="Arial" w:cs="Arial"/>
          <w:sz w:val="20"/>
          <w:szCs w:val="20"/>
        </w:rPr>
      </w:pPr>
      <w:r w:rsidRPr="00F926FD">
        <w:rPr>
          <w:rFonts w:ascii="Arial" w:hAnsi="Arial" w:cs="Arial"/>
          <w:sz w:val="20"/>
          <w:szCs w:val="20"/>
        </w:rPr>
        <w:t xml:space="preserve">дата составления </w:t>
      </w:r>
      <w:r w:rsidRPr="00F926FD">
        <w:rPr>
          <w:rFonts w:ascii="Arial" w:hAnsi="Arial" w:cs="Arial"/>
          <w:sz w:val="20"/>
          <w:szCs w:val="20"/>
        </w:rPr>
        <w:tab/>
        <w:t>________________</w:t>
      </w:r>
    </w:p>
    <w:p w14:paraId="13881D48" w14:textId="77777777" w:rsidR="009342DE" w:rsidRPr="00F926FD" w:rsidRDefault="009342DE" w:rsidP="009342DE">
      <w:pPr>
        <w:jc w:val="both"/>
        <w:rPr>
          <w:rFonts w:ascii="Arial" w:hAnsi="Arial" w:cs="Arial"/>
          <w:sz w:val="20"/>
          <w:szCs w:val="20"/>
        </w:rPr>
      </w:pPr>
      <w:r w:rsidRPr="00F926FD">
        <w:rPr>
          <w:rFonts w:ascii="Arial" w:hAnsi="Arial" w:cs="Arial"/>
          <w:sz w:val="20"/>
          <w:szCs w:val="20"/>
        </w:rPr>
        <w:t>М.П.</w:t>
      </w:r>
    </w:p>
    <w:p w14:paraId="496ABE93" w14:textId="77777777" w:rsidR="00530EC9" w:rsidRPr="00F926FD" w:rsidRDefault="00530EC9">
      <w:pPr>
        <w:rPr>
          <w:rFonts w:ascii="Arial" w:hAnsi="Arial" w:cs="Arial"/>
          <w:sz w:val="20"/>
          <w:szCs w:val="20"/>
        </w:rPr>
      </w:pPr>
    </w:p>
    <w:sectPr w:rsidR="00530EC9" w:rsidRPr="00F926FD" w:rsidSect="00892C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E147C"/>
    <w:multiLevelType w:val="hybridMultilevel"/>
    <w:tmpl w:val="44AC0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71A8B"/>
    <w:multiLevelType w:val="hybridMultilevel"/>
    <w:tmpl w:val="31E47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A5736"/>
    <w:multiLevelType w:val="hybridMultilevel"/>
    <w:tmpl w:val="3E9C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52"/>
    <w:rsid w:val="000414FF"/>
    <w:rsid w:val="000507B6"/>
    <w:rsid w:val="000A7DCE"/>
    <w:rsid w:val="000B0BD6"/>
    <w:rsid w:val="00185FDA"/>
    <w:rsid w:val="002A692E"/>
    <w:rsid w:val="002C462D"/>
    <w:rsid w:val="003008D7"/>
    <w:rsid w:val="00316A88"/>
    <w:rsid w:val="00321AA2"/>
    <w:rsid w:val="00342A38"/>
    <w:rsid w:val="003709A1"/>
    <w:rsid w:val="00394EE2"/>
    <w:rsid w:val="00441D66"/>
    <w:rsid w:val="004563CA"/>
    <w:rsid w:val="00516E5D"/>
    <w:rsid w:val="00530EC9"/>
    <w:rsid w:val="0054178C"/>
    <w:rsid w:val="0054707A"/>
    <w:rsid w:val="005707D2"/>
    <w:rsid w:val="005F69EB"/>
    <w:rsid w:val="00650545"/>
    <w:rsid w:val="006C3383"/>
    <w:rsid w:val="007162CD"/>
    <w:rsid w:val="00763BF9"/>
    <w:rsid w:val="007B681A"/>
    <w:rsid w:val="00892C52"/>
    <w:rsid w:val="009342DE"/>
    <w:rsid w:val="00936B35"/>
    <w:rsid w:val="00945624"/>
    <w:rsid w:val="009C16EA"/>
    <w:rsid w:val="009D2214"/>
    <w:rsid w:val="00A86F7C"/>
    <w:rsid w:val="00A932BE"/>
    <w:rsid w:val="00AE0899"/>
    <w:rsid w:val="00B10E5F"/>
    <w:rsid w:val="00B24247"/>
    <w:rsid w:val="00C23499"/>
    <w:rsid w:val="00C81823"/>
    <w:rsid w:val="00CB3391"/>
    <w:rsid w:val="00CB4D33"/>
    <w:rsid w:val="00D63C39"/>
    <w:rsid w:val="00D74BBC"/>
    <w:rsid w:val="00E05FBC"/>
    <w:rsid w:val="00E27E02"/>
    <w:rsid w:val="00E64817"/>
    <w:rsid w:val="00E836E8"/>
    <w:rsid w:val="00E8606A"/>
    <w:rsid w:val="00E9110B"/>
    <w:rsid w:val="00EA4040"/>
    <w:rsid w:val="00EB307D"/>
    <w:rsid w:val="00ED6447"/>
    <w:rsid w:val="00EE5772"/>
    <w:rsid w:val="00EE5FB9"/>
    <w:rsid w:val="00EE7302"/>
    <w:rsid w:val="00F402A1"/>
    <w:rsid w:val="00F62E1F"/>
    <w:rsid w:val="00F7039F"/>
    <w:rsid w:val="00F724B2"/>
    <w:rsid w:val="00F926FD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E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52"/>
  </w:style>
  <w:style w:type="paragraph" w:styleId="1">
    <w:name w:val="heading 1"/>
    <w:basedOn w:val="a"/>
    <w:next w:val="a"/>
    <w:link w:val="10"/>
    <w:uiPriority w:val="9"/>
    <w:qFormat/>
    <w:rsid w:val="00892C52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2C52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8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C52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2C5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3">
    <w:name w:val="Table Grid"/>
    <w:basedOn w:val="a1"/>
    <w:uiPriority w:val="39"/>
    <w:rsid w:val="0089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892C52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892C52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892C52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rsid w:val="00892C52"/>
    <w:rPr>
      <w:rFonts w:ascii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892C52"/>
    <w:pPr>
      <w:spacing w:line="254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892C52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8182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8">
    <w:name w:val="Normal (Web)"/>
    <w:basedOn w:val="a"/>
    <w:rsid w:val="0053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6F7C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A86F7C"/>
    <w:rPr>
      <w:rFonts w:ascii="Tahoma" w:eastAsia="Calibri" w:hAnsi="Tahoma" w:cs="Times New Roman"/>
      <w:sz w:val="16"/>
      <w:szCs w:val="1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52"/>
  </w:style>
  <w:style w:type="paragraph" w:styleId="1">
    <w:name w:val="heading 1"/>
    <w:basedOn w:val="a"/>
    <w:next w:val="a"/>
    <w:link w:val="10"/>
    <w:uiPriority w:val="9"/>
    <w:qFormat/>
    <w:rsid w:val="00892C52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2C52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8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C52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2C5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3">
    <w:name w:val="Table Grid"/>
    <w:basedOn w:val="a1"/>
    <w:uiPriority w:val="39"/>
    <w:rsid w:val="0089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892C52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892C52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892C52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rsid w:val="00892C52"/>
    <w:rPr>
      <w:rFonts w:ascii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892C52"/>
    <w:pPr>
      <w:spacing w:line="254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892C52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8182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8">
    <w:name w:val="Normal (Web)"/>
    <w:basedOn w:val="a"/>
    <w:rsid w:val="0053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6F7C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A86F7C"/>
    <w:rPr>
      <w:rFonts w:ascii="Tahoma" w:eastAsia="Calibri" w:hAnsi="Tahoma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arpetgeo.2023.106217" TargetMode="External"/><Relationship Id="rId13" Type="http://schemas.openxmlformats.org/officeDocument/2006/relationships/hyperlink" Target="https://www.earthdoc.org/content/proceedings/tyumen-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gtp.ru/rub/2022/3_2022.html" TargetMode="External"/><Relationship Id="rId12" Type="http://schemas.openxmlformats.org/officeDocument/2006/relationships/hyperlink" Target="https://www.earthdoc.org/content/serial/2214-46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marpetgeo.2023.106217" TargetMode="External"/><Relationship Id="rId11" Type="http://schemas.openxmlformats.org/officeDocument/2006/relationships/hyperlink" Target="https://www.earthdoc.org/content/proceedings/tyumen-20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arthdoc.org/content/serial/2214-46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7223/25421379/19/4" TargetMode="External"/><Relationship Id="rId14" Type="http://schemas.openxmlformats.org/officeDocument/2006/relationships/hyperlink" Target="https://doi.org/10.3997/2214-4609.202150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Бурков Петр Владимирович</dc:creator>
  <cp:lastModifiedBy>Краснощекова ЛА</cp:lastModifiedBy>
  <cp:revision>3</cp:revision>
  <dcterms:created xsi:type="dcterms:W3CDTF">2024-11-29T13:36:00Z</dcterms:created>
  <dcterms:modified xsi:type="dcterms:W3CDTF">2025-07-07T15:17:00Z</dcterms:modified>
</cp:coreProperties>
</file>