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05" w:rsidRPr="00CF5451" w:rsidRDefault="005C2005" w:rsidP="007379D5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F5451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5C2005" w:rsidRPr="00CF5451" w:rsidRDefault="005C2005" w:rsidP="007379D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F5451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:rsidR="00DC55A9" w:rsidRPr="00CF5451" w:rsidRDefault="00DC55A9" w:rsidP="00217729">
      <w:pPr>
        <w:pStyle w:val="1"/>
        <w:spacing w:line="240" w:lineRule="auto"/>
        <w:rPr>
          <w:rFonts w:ascii="Arial" w:hAnsi="Arial" w:cs="Arial"/>
        </w:rPr>
      </w:pPr>
      <w:r w:rsidRPr="00CF5451">
        <w:rPr>
          <w:rFonts w:ascii="Arial" w:hAnsi="Arial" w:cs="Arial"/>
        </w:rPr>
        <w:t>Справка</w:t>
      </w:r>
    </w:p>
    <w:p w:rsidR="00587571" w:rsidRPr="00CF5451" w:rsidRDefault="002057D2" w:rsidP="007379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451">
        <w:rPr>
          <w:rFonts w:ascii="Arial" w:hAnsi="Arial" w:cs="Arial"/>
          <w:sz w:val="24"/>
          <w:szCs w:val="24"/>
        </w:rPr>
        <w:t xml:space="preserve">о </w:t>
      </w:r>
      <w:r w:rsidR="00646334" w:rsidRPr="00CF5451">
        <w:rPr>
          <w:rFonts w:ascii="Arial" w:hAnsi="Arial" w:cs="Arial"/>
          <w:sz w:val="24"/>
          <w:szCs w:val="24"/>
        </w:rPr>
        <w:t>научн</w:t>
      </w:r>
      <w:r w:rsidR="00587571" w:rsidRPr="00CF5451">
        <w:rPr>
          <w:rFonts w:ascii="Arial" w:hAnsi="Arial" w:cs="Arial"/>
          <w:sz w:val="24"/>
          <w:szCs w:val="24"/>
        </w:rPr>
        <w:t>ых</w:t>
      </w:r>
      <w:r w:rsidR="00646334" w:rsidRPr="00CF5451">
        <w:rPr>
          <w:rFonts w:ascii="Arial" w:hAnsi="Arial" w:cs="Arial"/>
          <w:sz w:val="24"/>
          <w:szCs w:val="24"/>
        </w:rPr>
        <w:t xml:space="preserve"> </w:t>
      </w:r>
      <w:r w:rsidRPr="00CF5451">
        <w:rPr>
          <w:rFonts w:ascii="Arial" w:hAnsi="Arial" w:cs="Arial"/>
          <w:sz w:val="24"/>
          <w:szCs w:val="24"/>
        </w:rPr>
        <w:t>руководител</w:t>
      </w:r>
      <w:r w:rsidR="00587571" w:rsidRPr="00CF5451">
        <w:rPr>
          <w:rFonts w:ascii="Arial" w:hAnsi="Arial" w:cs="Arial"/>
          <w:sz w:val="24"/>
          <w:szCs w:val="24"/>
        </w:rPr>
        <w:t>ях</w:t>
      </w:r>
      <w:r w:rsidRPr="00CF5451">
        <w:rPr>
          <w:rFonts w:ascii="Arial" w:hAnsi="Arial" w:cs="Arial"/>
          <w:sz w:val="24"/>
          <w:szCs w:val="24"/>
        </w:rPr>
        <w:t xml:space="preserve"> </w:t>
      </w:r>
      <w:r w:rsidR="00646334" w:rsidRPr="00CF5451">
        <w:rPr>
          <w:rFonts w:ascii="Arial" w:hAnsi="Arial" w:cs="Arial"/>
          <w:sz w:val="24"/>
          <w:szCs w:val="24"/>
        </w:rPr>
        <w:t>аспирант</w:t>
      </w:r>
      <w:r w:rsidR="00587571" w:rsidRPr="00CF5451">
        <w:rPr>
          <w:rFonts w:ascii="Arial" w:hAnsi="Arial" w:cs="Arial"/>
          <w:sz w:val="24"/>
          <w:szCs w:val="24"/>
        </w:rPr>
        <w:t>ов, обучающихся</w:t>
      </w:r>
      <w:r w:rsidR="00646334" w:rsidRPr="00CF5451">
        <w:rPr>
          <w:rFonts w:ascii="Arial" w:hAnsi="Arial" w:cs="Arial"/>
          <w:sz w:val="24"/>
          <w:szCs w:val="24"/>
        </w:rPr>
        <w:t xml:space="preserve"> по</w:t>
      </w:r>
      <w:r w:rsidRPr="00CF5451">
        <w:rPr>
          <w:rFonts w:ascii="Arial" w:hAnsi="Arial" w:cs="Arial"/>
          <w:sz w:val="24"/>
          <w:szCs w:val="24"/>
        </w:rPr>
        <w:t xml:space="preserve"> программ</w:t>
      </w:r>
      <w:r w:rsidR="00646334" w:rsidRPr="00CF5451">
        <w:rPr>
          <w:rFonts w:ascii="Arial" w:hAnsi="Arial" w:cs="Arial"/>
          <w:sz w:val="24"/>
          <w:szCs w:val="24"/>
        </w:rPr>
        <w:t>е</w:t>
      </w:r>
      <w:r w:rsidR="00DC55A9" w:rsidRPr="00CF5451">
        <w:rPr>
          <w:rFonts w:ascii="Arial" w:hAnsi="Arial" w:cs="Arial"/>
          <w:sz w:val="24"/>
          <w:szCs w:val="24"/>
        </w:rPr>
        <w:t xml:space="preserve"> подготовки </w:t>
      </w:r>
    </w:p>
    <w:p w:rsidR="005C2005" w:rsidRPr="00CF5451" w:rsidRDefault="00587571" w:rsidP="00ED72E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CF5451">
        <w:rPr>
          <w:rFonts w:ascii="Arial" w:hAnsi="Arial" w:cs="Arial"/>
          <w:sz w:val="24"/>
          <w:szCs w:val="24"/>
        </w:rPr>
        <w:t xml:space="preserve">научных и </w:t>
      </w:r>
      <w:r w:rsidR="00DC55A9" w:rsidRPr="00CF5451">
        <w:rPr>
          <w:rFonts w:ascii="Arial" w:hAnsi="Arial" w:cs="Arial"/>
          <w:sz w:val="24"/>
          <w:szCs w:val="24"/>
        </w:rPr>
        <w:t xml:space="preserve">научно-педагогических кадров в аспирантуре </w:t>
      </w:r>
      <w:r w:rsidRPr="00CF5451">
        <w:rPr>
          <w:rFonts w:ascii="Arial" w:eastAsia="Calibri" w:hAnsi="Arial" w:cs="Arial"/>
          <w:sz w:val="24"/>
          <w:szCs w:val="24"/>
        </w:rPr>
        <w:t xml:space="preserve">по специальности </w:t>
      </w:r>
      <w:r w:rsidR="00596057" w:rsidRPr="00CF5451">
        <w:rPr>
          <w:rFonts w:ascii="Arial" w:eastAsia="Calibri" w:hAnsi="Arial" w:cs="Arial"/>
          <w:sz w:val="24"/>
          <w:szCs w:val="24"/>
        </w:rPr>
        <w:t xml:space="preserve">2.4.2. </w:t>
      </w:r>
      <w:r w:rsidR="00596057" w:rsidRPr="00CF5451">
        <w:rPr>
          <w:rFonts w:ascii="Arial" w:eastAsia="Calibri" w:hAnsi="Arial" w:cs="Arial"/>
          <w:bCs/>
          <w:sz w:val="24"/>
          <w:szCs w:val="24"/>
        </w:rPr>
        <w:t xml:space="preserve">Электротехнические комплексы </w:t>
      </w:r>
      <w:r w:rsidR="00596057" w:rsidRPr="00CF5451">
        <w:rPr>
          <w:rFonts w:ascii="Arial" w:eastAsia="Calibri" w:hAnsi="Arial" w:cs="Arial"/>
          <w:sz w:val="24"/>
          <w:szCs w:val="24"/>
        </w:rPr>
        <w:t xml:space="preserve">и </w:t>
      </w:r>
      <w:r w:rsidR="00596057" w:rsidRPr="00CF5451">
        <w:rPr>
          <w:rFonts w:ascii="Arial" w:eastAsia="Calibri" w:hAnsi="Arial" w:cs="Arial"/>
          <w:bCs/>
          <w:sz w:val="24"/>
          <w:szCs w:val="24"/>
        </w:rPr>
        <w:t>системы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34"/>
        <w:gridCol w:w="1323"/>
        <w:gridCol w:w="1296"/>
        <w:gridCol w:w="1084"/>
        <w:gridCol w:w="1839"/>
        <w:gridCol w:w="2663"/>
        <w:gridCol w:w="3588"/>
        <w:gridCol w:w="3294"/>
      </w:tblGrid>
      <w:tr w:rsidR="00795BF4" w:rsidRPr="00CF5451" w:rsidTr="005442BF">
        <w:trPr>
          <w:trHeight w:val="1417"/>
        </w:trPr>
        <w:tc>
          <w:tcPr>
            <w:tcW w:w="432" w:type="dxa"/>
          </w:tcPr>
          <w:p w:rsidR="0040749C" w:rsidRPr="00CF5451" w:rsidRDefault="0040749C" w:rsidP="005C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№ п\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91" w:type="dxa"/>
          </w:tcPr>
          <w:p w:rsidR="0040749C" w:rsidRPr="00CF5451" w:rsidRDefault="0040749C" w:rsidP="00737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Ф.И.О. нау</w:t>
            </w:r>
            <w:r w:rsidRPr="00CF5451">
              <w:rPr>
                <w:rFonts w:ascii="Arial" w:hAnsi="Arial" w:cs="Arial"/>
                <w:sz w:val="16"/>
                <w:szCs w:val="16"/>
              </w:rPr>
              <w:t>ч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 руков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дителя асп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рантов</w:t>
            </w:r>
          </w:p>
        </w:tc>
        <w:tc>
          <w:tcPr>
            <w:tcW w:w="1434" w:type="dxa"/>
          </w:tcPr>
          <w:p w:rsidR="0040749C" w:rsidRPr="00CF5451" w:rsidRDefault="0040749C" w:rsidP="007379D5">
            <w:pPr>
              <w:pStyle w:val="a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Условия пр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вл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чения (основное место работы: штатный, вну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>ренний совм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ститель, внешний со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>меститель;</w:t>
            </w:r>
          </w:p>
          <w:p w:rsidR="0040749C" w:rsidRPr="00CF5451" w:rsidRDefault="0040749C" w:rsidP="007379D5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 xml:space="preserve">по договору </w:t>
            </w:r>
            <w:r w:rsidR="008B51E4" w:rsidRPr="00CF5451">
              <w:rPr>
                <w:rFonts w:ascii="Arial" w:hAnsi="Arial" w:cs="Arial"/>
                <w:sz w:val="16"/>
                <w:szCs w:val="16"/>
              </w:rPr>
              <w:t>Г</w:t>
            </w:r>
            <w:r w:rsidR="008B51E4" w:rsidRPr="00CF5451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1151" w:type="dxa"/>
          </w:tcPr>
          <w:p w:rsidR="005149B3" w:rsidRPr="00CF5451" w:rsidRDefault="005C2005" w:rsidP="007379D5">
            <w:pPr>
              <w:ind w:right="-120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="0040749C" w:rsidRPr="00CF5451">
              <w:rPr>
                <w:rFonts w:ascii="Arial" w:hAnsi="Arial" w:cs="Arial"/>
                <w:sz w:val="16"/>
                <w:szCs w:val="16"/>
              </w:rPr>
              <w:t>ченая ст</w:t>
            </w:r>
            <w:r w:rsidR="0040749C"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="0040749C" w:rsidRPr="00CF5451">
              <w:rPr>
                <w:rFonts w:ascii="Arial" w:hAnsi="Arial" w:cs="Arial"/>
                <w:sz w:val="16"/>
                <w:szCs w:val="16"/>
              </w:rPr>
              <w:t>пень,</w:t>
            </w:r>
          </w:p>
          <w:p w:rsidR="0040749C" w:rsidRPr="00CF5451" w:rsidRDefault="0040749C" w:rsidP="007379D5">
            <w:pPr>
              <w:ind w:right="-120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="008B51E4" w:rsidRPr="00CF5451">
              <w:rPr>
                <w:rFonts w:ascii="Arial" w:hAnsi="Arial" w:cs="Arial"/>
                <w:sz w:val="16"/>
                <w:szCs w:val="20"/>
              </w:rPr>
              <w:t>звание</w:t>
            </w:r>
          </w:p>
        </w:tc>
        <w:tc>
          <w:tcPr>
            <w:tcW w:w="1943" w:type="dxa"/>
          </w:tcPr>
          <w:p w:rsidR="0040749C" w:rsidRPr="00CF5451" w:rsidRDefault="0040749C" w:rsidP="00E97EB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Тематика самосто</w:t>
            </w:r>
            <w:r w:rsidRPr="00CF5451">
              <w:rPr>
                <w:rFonts w:ascii="Arial" w:hAnsi="Arial" w:cs="Arial"/>
                <w:sz w:val="16"/>
                <w:szCs w:val="16"/>
              </w:rPr>
              <w:t>я</w:t>
            </w:r>
            <w:r w:rsidRPr="00CF5451">
              <w:rPr>
                <w:rFonts w:ascii="Arial" w:hAnsi="Arial" w:cs="Arial"/>
                <w:sz w:val="16"/>
                <w:szCs w:val="16"/>
              </w:rPr>
              <w:t>тел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>ной научно-исследовательской (творческой) де</w:t>
            </w:r>
            <w:r w:rsidRPr="00CF5451">
              <w:rPr>
                <w:rFonts w:ascii="Arial" w:hAnsi="Arial" w:cs="Arial"/>
                <w:sz w:val="16"/>
                <w:szCs w:val="16"/>
              </w:rPr>
              <w:t>я</w:t>
            </w:r>
            <w:r w:rsidRPr="00CF5451">
              <w:rPr>
                <w:rFonts w:ascii="Arial" w:hAnsi="Arial" w:cs="Arial"/>
                <w:sz w:val="16"/>
                <w:szCs w:val="16"/>
              </w:rPr>
              <w:t>тельн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 (участие в осущест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>лении такой деятельн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сти) по направлен</w:t>
            </w:r>
            <w:r w:rsidR="005C2005" w:rsidRPr="00CF5451">
              <w:rPr>
                <w:rFonts w:ascii="Arial" w:hAnsi="Arial" w:cs="Arial"/>
                <w:sz w:val="16"/>
                <w:szCs w:val="16"/>
              </w:rPr>
              <w:t xml:space="preserve">ию </w:t>
            </w:r>
            <w:r w:rsidRPr="00CF5451">
              <w:rPr>
                <w:rFonts w:ascii="Arial" w:hAnsi="Arial" w:cs="Arial"/>
                <w:sz w:val="16"/>
                <w:szCs w:val="16"/>
              </w:rPr>
              <w:t>подг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товки, а также наименование и ре</w:t>
            </w:r>
            <w:r w:rsidRPr="00CF5451">
              <w:rPr>
                <w:rFonts w:ascii="Arial" w:hAnsi="Arial" w:cs="Arial"/>
                <w:sz w:val="16"/>
                <w:szCs w:val="16"/>
              </w:rPr>
              <w:t>к</w:t>
            </w:r>
            <w:r w:rsidRPr="00CF5451">
              <w:rPr>
                <w:rFonts w:ascii="Arial" w:hAnsi="Arial" w:cs="Arial"/>
                <w:sz w:val="16"/>
                <w:szCs w:val="16"/>
              </w:rPr>
              <w:t>визиты документа, по</w:t>
            </w:r>
            <w:r w:rsidRPr="00CF5451">
              <w:rPr>
                <w:rFonts w:ascii="Arial" w:hAnsi="Arial" w:cs="Arial"/>
                <w:sz w:val="16"/>
                <w:szCs w:val="16"/>
              </w:rPr>
              <w:t>д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тверждающие ее </w:t>
            </w:r>
            <w:r w:rsidR="008B51E4" w:rsidRPr="00CF5451">
              <w:rPr>
                <w:rFonts w:ascii="Arial" w:hAnsi="Arial" w:cs="Arial"/>
                <w:sz w:val="16"/>
                <w:szCs w:val="20"/>
              </w:rPr>
              <w:t>закре</w:t>
            </w:r>
            <w:r w:rsidR="008B51E4" w:rsidRPr="00CF5451">
              <w:rPr>
                <w:rFonts w:ascii="Arial" w:hAnsi="Arial" w:cs="Arial"/>
                <w:sz w:val="16"/>
                <w:szCs w:val="20"/>
              </w:rPr>
              <w:t>п</w:t>
            </w:r>
            <w:r w:rsidR="008B51E4" w:rsidRPr="00CF5451">
              <w:rPr>
                <w:rFonts w:ascii="Arial" w:hAnsi="Arial" w:cs="Arial"/>
                <w:sz w:val="16"/>
                <w:szCs w:val="20"/>
              </w:rPr>
              <w:t>ление</w:t>
            </w:r>
          </w:p>
        </w:tc>
        <w:tc>
          <w:tcPr>
            <w:tcW w:w="2434" w:type="dxa"/>
          </w:tcPr>
          <w:p w:rsidR="0040749C" w:rsidRPr="00CF5451" w:rsidRDefault="002057D2" w:rsidP="00737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20"/>
              </w:rPr>
              <w:t>Публикации в ведущих отеч</w:t>
            </w:r>
            <w:r w:rsidRPr="00CF5451">
              <w:rPr>
                <w:rFonts w:ascii="Arial" w:hAnsi="Arial" w:cs="Arial"/>
                <w:sz w:val="16"/>
                <w:szCs w:val="20"/>
              </w:rPr>
              <w:t>е</w:t>
            </w:r>
            <w:r w:rsidRPr="00CF5451">
              <w:rPr>
                <w:rFonts w:ascii="Arial" w:hAnsi="Arial" w:cs="Arial"/>
                <w:sz w:val="16"/>
                <w:szCs w:val="20"/>
              </w:rPr>
              <w:t>ственных рецензируемых нау</w:t>
            </w:r>
            <w:r w:rsidRPr="00CF5451">
              <w:rPr>
                <w:rFonts w:ascii="Arial" w:hAnsi="Arial" w:cs="Arial"/>
                <w:sz w:val="16"/>
                <w:szCs w:val="20"/>
              </w:rPr>
              <w:t>ч</w:t>
            </w:r>
            <w:r w:rsidRPr="00CF5451">
              <w:rPr>
                <w:rFonts w:ascii="Arial" w:hAnsi="Arial" w:cs="Arial"/>
                <w:sz w:val="16"/>
                <w:szCs w:val="20"/>
              </w:rPr>
              <w:t>ных журналах и изданиях</w:t>
            </w:r>
          </w:p>
        </w:tc>
        <w:tc>
          <w:tcPr>
            <w:tcW w:w="3301" w:type="dxa"/>
          </w:tcPr>
          <w:p w:rsidR="0040749C" w:rsidRPr="00CF5451" w:rsidRDefault="0040749C" w:rsidP="00737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3048" w:type="dxa"/>
          </w:tcPr>
          <w:p w:rsidR="0040749C" w:rsidRPr="00CF5451" w:rsidRDefault="002057D2" w:rsidP="00737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20"/>
              </w:rPr>
              <w:t>Апробация результатов научно-исследовательской (творческой) де</w:t>
            </w:r>
            <w:r w:rsidRPr="00CF5451">
              <w:rPr>
                <w:rFonts w:ascii="Arial" w:hAnsi="Arial" w:cs="Arial"/>
                <w:sz w:val="16"/>
                <w:szCs w:val="20"/>
              </w:rPr>
              <w:t>я</w:t>
            </w:r>
            <w:r w:rsidRPr="00CF5451">
              <w:rPr>
                <w:rFonts w:ascii="Arial" w:hAnsi="Arial" w:cs="Arial"/>
                <w:sz w:val="16"/>
                <w:szCs w:val="20"/>
              </w:rPr>
              <w:t>тельности на национальных и междун</w:t>
            </w:r>
            <w:r w:rsidRPr="00CF5451">
              <w:rPr>
                <w:rFonts w:ascii="Arial" w:hAnsi="Arial" w:cs="Arial"/>
                <w:sz w:val="16"/>
                <w:szCs w:val="20"/>
              </w:rPr>
              <w:t>а</w:t>
            </w:r>
            <w:r w:rsidRPr="00CF5451">
              <w:rPr>
                <w:rFonts w:ascii="Arial" w:hAnsi="Arial" w:cs="Arial"/>
                <w:sz w:val="16"/>
                <w:szCs w:val="20"/>
              </w:rPr>
              <w:t>родных конференциях, с указанием т</w:t>
            </w:r>
            <w:r w:rsidRPr="00CF5451">
              <w:rPr>
                <w:rFonts w:ascii="Arial" w:hAnsi="Arial" w:cs="Arial"/>
                <w:sz w:val="16"/>
                <w:szCs w:val="20"/>
              </w:rPr>
              <w:t>е</w:t>
            </w:r>
            <w:r w:rsidRPr="00CF5451">
              <w:rPr>
                <w:rFonts w:ascii="Arial" w:hAnsi="Arial" w:cs="Arial"/>
                <w:sz w:val="16"/>
                <w:szCs w:val="20"/>
              </w:rPr>
              <w:t>мы статьи (темы доклада)</w:t>
            </w:r>
          </w:p>
        </w:tc>
      </w:tr>
      <w:tr w:rsidR="00AF58B2" w:rsidRPr="00CF5451" w:rsidTr="005442BF">
        <w:tc>
          <w:tcPr>
            <w:tcW w:w="432" w:type="dxa"/>
          </w:tcPr>
          <w:p w:rsidR="00AF58B2" w:rsidRPr="00CF5451" w:rsidRDefault="00AF58B2" w:rsidP="00AF58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1" w:type="dxa"/>
          </w:tcPr>
          <w:p w:rsidR="00AF58B2" w:rsidRPr="00CF5451" w:rsidRDefault="00AF58B2" w:rsidP="00AF58B2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Букреев</w:t>
            </w:r>
            <w:proofErr w:type="spellEnd"/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Ви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тор Григорь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вич</w:t>
            </w:r>
          </w:p>
        </w:tc>
        <w:tc>
          <w:tcPr>
            <w:tcW w:w="1434" w:type="dxa"/>
          </w:tcPr>
          <w:p w:rsidR="00AF58B2" w:rsidRPr="00CF5451" w:rsidRDefault="00AF58B2" w:rsidP="00AF58B2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51" w:type="dxa"/>
          </w:tcPr>
          <w:p w:rsidR="00AF58B2" w:rsidRPr="00CF5451" w:rsidRDefault="00AF58B2" w:rsidP="00AF58B2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>Должность - профе</w:t>
            </w:r>
            <w:r w:rsidRPr="00CF5451">
              <w:rPr>
                <w:rFonts w:ascii="Arial" w:hAnsi="Arial" w:cs="Arial"/>
              </w:rPr>
              <w:t>с</w:t>
            </w:r>
            <w:r w:rsidRPr="00CF5451">
              <w:rPr>
                <w:rFonts w:ascii="Arial" w:hAnsi="Arial" w:cs="Arial"/>
              </w:rPr>
              <w:t>сор,</w:t>
            </w:r>
          </w:p>
          <w:p w:rsidR="00AF58B2" w:rsidRPr="00CF5451" w:rsidRDefault="00AF58B2" w:rsidP="00AF58B2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д. т.н., </w:t>
            </w:r>
          </w:p>
          <w:p w:rsidR="00AF58B2" w:rsidRPr="00CF5451" w:rsidRDefault="00AF58B2" w:rsidP="00AF58B2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 xml:space="preserve">Ученое звание </w:t>
            </w:r>
            <w:r w:rsidR="005C7852" w:rsidRPr="00CF5451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CF5451">
              <w:rPr>
                <w:rFonts w:ascii="Arial" w:hAnsi="Arial" w:cs="Arial"/>
                <w:sz w:val="16"/>
                <w:szCs w:val="16"/>
              </w:rPr>
              <w:t>пр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фессор</w:t>
            </w:r>
          </w:p>
        </w:tc>
        <w:tc>
          <w:tcPr>
            <w:tcW w:w="1943" w:type="dxa"/>
          </w:tcPr>
          <w:p w:rsidR="00AF58B2" w:rsidRPr="00CF5451" w:rsidRDefault="00AF58B2" w:rsidP="008753B2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AF58B2" w:rsidRPr="00CF5451" w:rsidRDefault="00AF58B2" w:rsidP="008753B2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3.3. Электротехника, электронная техника, информационные технологии:</w:t>
            </w:r>
          </w:p>
          <w:p w:rsidR="00AF58B2" w:rsidRPr="00CF5451" w:rsidRDefault="00AF58B2" w:rsidP="008753B2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Разработка и исследование 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Нгуен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Ван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Выонг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А. А. Шилин, В. Г.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[и др.] Определение параметров ПИ-регулятора системы управления сложным технологическим об</w:t>
            </w:r>
            <w:r w:rsidRPr="00CF5451">
              <w:rPr>
                <w:rFonts w:ascii="Arial" w:hAnsi="Arial" w:cs="Arial"/>
                <w:sz w:val="16"/>
                <w:szCs w:val="16"/>
              </w:rPr>
              <w:t>ъ</w:t>
            </w:r>
            <w:r w:rsidRPr="00CF5451">
              <w:rPr>
                <w:rFonts w:ascii="Arial" w:hAnsi="Arial" w:cs="Arial"/>
                <w:sz w:val="16"/>
                <w:szCs w:val="16"/>
              </w:rPr>
              <w:t>ектом в режиме реального вр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мени =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Synthesis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regulators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drying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plant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control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system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based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statistical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data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// Докл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ды Томского государственного университета систем управл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ния и радиоэлектроники /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государственный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 систем управления и р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диоэлектроники (ТУСУР). – 2021.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– Т. 24, № 2. – С. 56-63.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Шилин А.А., Прохоров С.В.,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 В.Г.,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Нгуен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В.В. Стаб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лизация температуры в рекуп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раторе вентиляционной уст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новки с использованием рег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лируемого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электропривода насоса промежуточного тепл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носителя // Известия высших учебных заведений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>. Электром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ханика. 2020. Т. 63. № 2-3. С. 24-29.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0.301.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Шилин А.А.,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Михайлёв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А.С. Модернизация электропривода нагнетательн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го вентилятора отопительного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котла для жилищно-коммунального хозяйства. // Известия высших учебных з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ведений. Электромеханика. 2020. Т. 63. № 4. С. 30-37.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0.301.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Брянцев А.А.,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 Алгоритм определения пар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метров модели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Шеферда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для построения имитатора литий-ионного аккумулятора // Докл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ды Томского государственного университета систем управл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ния и радиоэлектроники. 2019. Т. 22. № 1. С. 95-99.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0.4.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Рулевский В.М.,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Шандарова</w:t>
            </w:r>
            <w:proofErr w:type="spellEnd"/>
            <w:r w:rsidR="005C7852"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Е.Б., Чех В.А. Оптимизация регулятора напряжения в системе электр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питания глубоководных аппар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тов. // Робототехника и технич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ская кибернетика. 2019. Т. 7. № 1. С. 71-79.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–0.333.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Рулевский В.М.,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Шандарова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Е.Б. Аппрокс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мация нелинейной математич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ской модели системы электр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питания глубоководного апп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рата. // Доклады Томского гос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>дарственного университета систем управления и ради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электроники. 2018. Т. 21. № 3. С. 85-92.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2017 – 0.431.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Нестеришин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М. В. Метод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ка оценки энергетической э</w:t>
            </w:r>
            <w:r w:rsidRPr="00CF5451">
              <w:rPr>
                <w:rFonts w:ascii="Arial" w:hAnsi="Arial" w:cs="Arial"/>
                <w:sz w:val="16"/>
                <w:szCs w:val="16"/>
              </w:rPr>
              <w:t>ф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фективности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энергопреобраз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>ющей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аппаратуры систем эле</w:t>
            </w:r>
            <w:r w:rsidRPr="00CF5451">
              <w:rPr>
                <w:rFonts w:ascii="Arial" w:hAnsi="Arial" w:cs="Arial"/>
                <w:sz w:val="16"/>
                <w:szCs w:val="16"/>
              </w:rPr>
              <w:t>к</w:t>
            </w:r>
            <w:r w:rsidRPr="00CF5451">
              <w:rPr>
                <w:rFonts w:ascii="Arial" w:hAnsi="Arial" w:cs="Arial"/>
                <w:sz w:val="16"/>
                <w:szCs w:val="16"/>
              </w:rPr>
              <w:t>тропитания космических апп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ратов /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Нестеришин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М. 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 Г., Козлов Р. В., Ж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равлев А. В. // Доклады ТУСУР. – 2018. – Т. 21, № 1. – С. 112–118.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2017 – 0.431.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8.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Рулевский В.М., Чех В.А.,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Мещеряков Р.В. Система электропитания глуб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ководного аппарата с высок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вольтной передачей энергии постоянного тока по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кабель-тросу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>. // Известия ЮФУ. Техн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ческие науки. 2018. № 1 (195).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 xml:space="preserve">С. 155-167.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2017 – 0.423.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9.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Рулевский В.М.,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Шандарова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Е.Б. Синтез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субоптимального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регулятора напряжения в системе электр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питания глубоководного апп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рата // Электротехнические системы и комплексы. – 2018. – № 3 (40). С. 47-54.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2017 – 0.289.</w:t>
            </w:r>
          </w:p>
        </w:tc>
        <w:tc>
          <w:tcPr>
            <w:tcW w:w="3301" w:type="dxa"/>
          </w:tcPr>
          <w:p w:rsidR="00AF58B2" w:rsidRPr="00CF5451" w:rsidRDefault="00AF58B2" w:rsidP="00AF58B2">
            <w:pPr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V.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M.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Nesterishin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P.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Kriuchkov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 Non-Radiation Degradation of Solar Array Energy Performances for MEO Satellites // Russian Aeronautics. – 2021. – Vol. 64, </w:t>
            </w:r>
            <w:proofErr w:type="spellStart"/>
            <w:r w:rsidRPr="00CF5451">
              <w:rPr>
                <w:rFonts w:ascii="Arial" w:hAnsi="Arial" w:cs="Arial"/>
                <w:caps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1. – [P. 122-131].</w:t>
            </w:r>
          </w:p>
          <w:p w:rsidR="00AF58B2" w:rsidRPr="00CF5451" w:rsidRDefault="00AF58B2" w:rsidP="00AF58B2">
            <w:pPr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Rozaev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I.A. Research of fault-tolerant switched-reluctance motor of electrical oil pump. Bulletin of the Tomsk Polytechnic Un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versity, Geo Assets Engineering. – 2019. – Vol. 330, Issue 10. P. 69-81. – Cite Score 2018 – 0.7.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10.18799/24131830/2019/10/2299</w:t>
            </w:r>
          </w:p>
          <w:p w:rsidR="00AF58B2" w:rsidRPr="00CF5451" w:rsidRDefault="00AF58B2" w:rsidP="00AF58B2">
            <w:pPr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Shandarova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E.B.,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Rulevskiy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V.M. Nonlinear power supply mo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el of submersible objects based on change in the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cablerope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length // Bulletin of the Tomsk Pol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technic University, Geo Assets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ing. – 2018. – Vol. 329, № 11, – P. 114-123. Cite Score 2017 – 0.4. </w:t>
            </w:r>
          </w:p>
          <w:p w:rsidR="00AF58B2" w:rsidRPr="00CF5451" w:rsidRDefault="00AF58B2" w:rsidP="00AF58B2">
            <w:pPr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Shandarova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E.B.,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Rulevskiy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V.M. Power supply system model of remote processing equipment // Bulletin of the Tomsk Polytechnic University, Geo Assets Engineering. – 2018. – Vol. 329, № 4, – P. 119-131. Cite Score 2017 – 0.4. </w:t>
            </w:r>
          </w:p>
          <w:p w:rsidR="00AF58B2" w:rsidRPr="00CF5451" w:rsidRDefault="00AF58B2" w:rsidP="00AF58B2">
            <w:pPr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Sipaylova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N.Y.,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Sipa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V.A. Control strategy in accordance with ec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nomical criterion for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electrotechnical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insta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lation of mechanized oil production // Bulletin of the Tomsk Polytechnic University, Geo Assets Engineering. – 2017. – Vol. 328, № 3, – P. 75-84. Retrieved from www.scopus.com</w:t>
            </w:r>
          </w:p>
        </w:tc>
        <w:tc>
          <w:tcPr>
            <w:tcW w:w="3048" w:type="dxa"/>
          </w:tcPr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The power supply system model of the process submersible device with AC power trans-mission over the cable-rope (Article number 012098) / V.M.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Rulevskiy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E.O.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Kuleshova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E.B.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darova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S.M.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Shandarov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Yu.</w:t>
            </w:r>
            <w:r w:rsidR="00ED72EE" w:rsidRPr="00CF5451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Z.</w:t>
            </w:r>
            <w:r w:rsidR="00ED72EE" w:rsidRPr="00CF5451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Vasilyeva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IOP Conference Series: Materials Sc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ence and Engineering (MEACS): procee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ings, Tomsk, October 27–29, 2017 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Institute of Physics Publishing, 2017 – Vol. 177(1). Retrieved from www.scopus.com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Mathematical model for the power supply system of an autonomous object with an AC power transmission over a cable rope (Article number 012073) / V.M.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Rulevskiy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E.B.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Shandarova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E.O.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Kuleshova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S.M.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Shandarov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Yu.Z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Vasilyeva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IOP Conference Series: Mat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rials Science and Engineering (MEACS): proceedings, Tomsk, October 27–29, 2017 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Institute of Physics Publishing, 2017 – Vol. 177(1). Retrieved from www.scopus.com</w:t>
            </w:r>
          </w:p>
          <w:p w:rsidR="00AF58B2" w:rsidRPr="00CF5451" w:rsidRDefault="00AF58B2" w:rsidP="00AF58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Shilin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Petrushkin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V. Method for measuring motor speed </w:t>
            </w:r>
            <w:r w:rsidR="00ED72EE"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ED72EE"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="00ED72EE" w:rsidRPr="00CF5451">
              <w:rPr>
                <w:rFonts w:ascii="Arial" w:hAnsi="Arial" w:cs="Arial"/>
                <w:sz w:val="16"/>
                <w:szCs w:val="16"/>
                <w:lang w:val="en-US"/>
              </w:rPr>
              <w:t>tained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from the spectral characteristics of current consumption form. Paper presen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ed at the Proceedings – 2018 International Conference on Industrial Engineering, Applications and Manufacturing, ICIEAM 2018. 2018. С. 8728882. Retrieved from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www.scopus.com</w:t>
            </w:r>
          </w:p>
        </w:tc>
      </w:tr>
      <w:tr w:rsidR="00795BF4" w:rsidRPr="00CF5451" w:rsidTr="005442BF">
        <w:tc>
          <w:tcPr>
            <w:tcW w:w="432" w:type="dxa"/>
          </w:tcPr>
          <w:p w:rsidR="00D55ABC" w:rsidRPr="00CF5451" w:rsidRDefault="006B33BE" w:rsidP="00D55A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391" w:type="dxa"/>
          </w:tcPr>
          <w:p w:rsidR="00D55ABC" w:rsidRPr="00CF5451" w:rsidRDefault="00D55ABC" w:rsidP="007379D5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Гарганеев</w:t>
            </w:r>
            <w:proofErr w:type="spellEnd"/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Але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сандр Георги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вич</w:t>
            </w:r>
          </w:p>
        </w:tc>
        <w:tc>
          <w:tcPr>
            <w:tcW w:w="1434" w:type="dxa"/>
          </w:tcPr>
          <w:p w:rsidR="00D55ABC" w:rsidRPr="00CF5451" w:rsidRDefault="00D55ABC" w:rsidP="007379D5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51" w:type="dxa"/>
          </w:tcPr>
          <w:p w:rsidR="00D55ABC" w:rsidRPr="00CF5451" w:rsidRDefault="00D55ABC" w:rsidP="007379D5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>Должность - профе</w:t>
            </w:r>
            <w:r w:rsidRPr="00CF5451">
              <w:rPr>
                <w:rFonts w:ascii="Arial" w:hAnsi="Arial" w:cs="Arial"/>
              </w:rPr>
              <w:t>с</w:t>
            </w:r>
            <w:r w:rsidRPr="00CF5451">
              <w:rPr>
                <w:rFonts w:ascii="Arial" w:hAnsi="Arial" w:cs="Arial"/>
              </w:rPr>
              <w:t>сор,</w:t>
            </w:r>
          </w:p>
          <w:p w:rsidR="00D55ABC" w:rsidRPr="00CF5451" w:rsidRDefault="00D55ABC" w:rsidP="007379D5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д. т.н., </w:t>
            </w:r>
          </w:p>
          <w:p w:rsidR="00D55ABC" w:rsidRPr="00CF5451" w:rsidRDefault="00D55ABC" w:rsidP="007379D5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 xml:space="preserve">Ученое звание </w:t>
            </w:r>
            <w:r w:rsidR="005C7852" w:rsidRPr="00CF5451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CF5451">
              <w:rPr>
                <w:rFonts w:ascii="Arial" w:hAnsi="Arial" w:cs="Arial"/>
                <w:sz w:val="16"/>
                <w:szCs w:val="16"/>
              </w:rPr>
              <w:t>пр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фессор</w:t>
            </w:r>
          </w:p>
        </w:tc>
        <w:tc>
          <w:tcPr>
            <w:tcW w:w="1943" w:type="dxa"/>
          </w:tcPr>
          <w:p w:rsidR="00D55ABC" w:rsidRPr="00CF5451" w:rsidRDefault="00D55ABC" w:rsidP="007379D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D55ABC" w:rsidRPr="00CF5451" w:rsidRDefault="00CC0B62" w:rsidP="007379D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3.3. Электротехника, электронная техника, информационные технологии</w:t>
            </w:r>
            <w:r w:rsidR="00D55ABC" w:rsidRPr="00CF545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D55ABC" w:rsidRPr="00CF5451" w:rsidRDefault="00CC0B62" w:rsidP="007379D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Разработка и исследование 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Абуэлсауд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Р.С.,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А.Г. Управление напряжением трехфазного автономного и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вертора напряжения с нулевым проводом на основе пропорц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онально-резонансных регулят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ров // Практическая силовая электроника. 2019. № 1 (73). С. 49-56. (РИНЦ, 0.314).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Кашеутов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А.В., Кашин Е.И. О фильтру</w:t>
            </w:r>
            <w:r w:rsidRPr="00CF5451">
              <w:rPr>
                <w:rFonts w:ascii="Arial" w:hAnsi="Arial" w:cs="Arial"/>
                <w:sz w:val="16"/>
                <w:szCs w:val="16"/>
              </w:rPr>
              <w:t>ю</w:t>
            </w:r>
            <w:r w:rsidRPr="00CF5451">
              <w:rPr>
                <w:rFonts w:ascii="Arial" w:hAnsi="Arial" w:cs="Arial"/>
                <w:sz w:val="16"/>
                <w:szCs w:val="16"/>
              </w:rPr>
              <w:t>щих свойствах электромагни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ной системы гистерезисных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гиродвигателей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 мехатронных устройствах // Электричество. 2019. № 1. С. 55-66. (РИНЦ, 0.436).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Абуэлсауд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Р.С.,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А.Г. Устранение мертвого вр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мени для трехфазных автоно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ных инверторов напряжения // Электропитание. 2019. № 1. С. 14-24. (РИНЦ, 0.131).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А.Г., Кюи Д.К. Анализ процессов намагнич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вания гистерезисного слоя в электромагнитной муфте на основе материала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Fe-Co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Cr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// Электропитание. 2019. № 1. С. 35-44. (РИНЦ, 0.131).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А.Г., Динь К.К.,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Сипайлова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Н.Ю., Кашин Е.И. Оптимизация геометрии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зубц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вой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зоны гистерезисной муфты запорной арматуры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нефтеппр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вода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// Известия Томского пол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технического университета.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. 2019. Т. 330. № 7. С. 155-164. (РИНЦ, 0.896).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А.Г., Кюи Д.К., Кашин Е.И.,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Сипайлова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Н.Ю. Гистерезисные муфты на осн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ве материала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Fe-Cr-Co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// Го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ное оборудование и электром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хан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ка. 2018. № 4 (138). С. 33-39. (РИНЦ, 0.226).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Абуэлсауд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Р.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Система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электроснабжения на основе управления автоно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ным инвертором с прогнозир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>ющей моделью // Доклады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ского государственного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ситета систем управл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ния и радиоэлектроники. 2018. Т. 21. № 1. С. 106-111. (РИНЦ, 0.325). </w:t>
            </w:r>
          </w:p>
          <w:p w:rsidR="00D55ABC" w:rsidRPr="00CF5451" w:rsidRDefault="008A2710" w:rsidP="007379D5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8.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Гарганеев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 Г., Кюи Д. К., Кашин Е. И. Электропривод задвижки трубопроводной а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матуры с гистерезисной муфтой // Доклады ТУСУР – 2018. №1 (21). -С 127-131. (РИНЦ, 0.325).</w:t>
            </w:r>
          </w:p>
        </w:tc>
        <w:tc>
          <w:tcPr>
            <w:tcW w:w="3301" w:type="dxa"/>
          </w:tcPr>
          <w:p w:rsidR="001D4F7A" w:rsidRPr="00CF5451" w:rsidRDefault="001D4F7A" w:rsidP="005C7852">
            <w:pPr>
              <w:pStyle w:val="af1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G., Ibr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him, A. Comparative study of FCS-MPC and PWM control techniques for autonomous four-leg VSI.</w:t>
            </w:r>
            <w:r w:rsidR="008A2710"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// 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International Journal of Power Electro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ics.</w:t>
            </w:r>
            <w:r w:rsidR="008A2710"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– 2021. Vol. 14, Issue 2, P. 180-196.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doi:10.1504/IJPELEC.2021.117064 (Web of Science/Scopus, 0.9).</w:t>
            </w:r>
          </w:p>
          <w:p w:rsidR="001D4F7A" w:rsidRPr="00CF5451" w:rsidRDefault="001D4F7A" w:rsidP="005C7852">
            <w:pPr>
              <w:pStyle w:val="af1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Boussabeur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M. T.,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Rabhi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Toumi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Zellouma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L.,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G. Current control of Z-source four-leg inverter for autonomous photovoltaic sy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tem based on model predictive control. [</w:t>
            </w:r>
            <w:r w:rsidRPr="00CF5451">
              <w:rPr>
                <w:rFonts w:ascii="Arial" w:hAnsi="Arial" w:cs="Arial"/>
                <w:sz w:val="16"/>
                <w:szCs w:val="16"/>
              </w:rPr>
              <w:t>УПРАВЛЕНИЕ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ТОКОМ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Z-</w:t>
            </w:r>
            <w:r w:rsidRPr="00CF5451">
              <w:rPr>
                <w:rFonts w:ascii="Arial" w:hAnsi="Arial" w:cs="Arial"/>
                <w:sz w:val="16"/>
                <w:szCs w:val="16"/>
              </w:rPr>
              <w:t>ИНВЕРТОРА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ЧЕТВЕРТОЙ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СТОЙКОЙ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ДЛЯ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АВТОНО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НОЙ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ФОТОЭЛЕКТРИЧЕСКОЙ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СИСТЕМЫ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НА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ОСНОВЕ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ПРОГНОЗИРУЮЩЕГО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УПРАВЛЕНИЯ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  <w:r w:rsidR="008A2710"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Bulletin of the Tomsk Pol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technic University, Geo Assets Engineering. – 2021. Vol. 332, Issue 7, P. 165-171.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doi:10.18799/24131830/2021/7/3280 (Web of Science/Scopus, 1.3).</w:t>
            </w:r>
          </w:p>
          <w:p w:rsidR="001D4F7A" w:rsidRPr="00CF5451" w:rsidRDefault="001D4F7A" w:rsidP="005C7852">
            <w:pPr>
              <w:pStyle w:val="af1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Aleksandrov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I. V. Improved dead-time elimination method for three-phase power 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verters.</w:t>
            </w:r>
            <w:r w:rsidR="008A2710"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// International Journal of Power Ele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tronics and Drive Systems.</w:t>
            </w:r>
            <w:r w:rsidR="008A2710"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– 2020. Vol. 11, Issue 4, P. 1759-1766.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doi:10.11591/ijpeds.v11.i4.pp1759-1766 (Web of Science/Scopus, 3.1).</w:t>
            </w:r>
          </w:p>
          <w:p w:rsidR="008A2710" w:rsidRPr="00CF5451" w:rsidRDefault="001D4F7A" w:rsidP="005C7852">
            <w:pPr>
              <w:pStyle w:val="af1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R., Al-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Sumaiti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Alexandrov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Diab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A. Z. Assessment of model predictive voltage control for auton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mous four-leg inverter.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 // IEEE Access.</w:t>
            </w:r>
            <w:r w:rsidR="008A2710"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– 202. Vol., Issue 8, P. 101163-101180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doi:10.1109/ACCESS.2020.2996753 (Web of Science/Scopus, 4.8).</w:t>
            </w:r>
          </w:p>
          <w:p w:rsidR="00D55ABC" w:rsidRPr="00CF5451" w:rsidRDefault="001D4F7A" w:rsidP="005C7852">
            <w:pPr>
              <w:pStyle w:val="af1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G. Review of three-phase inverters control for unbalanced load compensation.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 // Intern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tional Journal of Power Electronics and Drive Sy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iCs/>
                <w:sz w:val="16"/>
                <w:szCs w:val="16"/>
                <w:lang w:val="en-US"/>
              </w:rPr>
              <w:t>tems. – 2019. Vol. 10, Issue 1, P. 242-255.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doi:10.11591/ijpeds.v10n1.pp242-255 (Web of Science/Scopus, 3.1).</w:t>
            </w:r>
          </w:p>
        </w:tc>
        <w:tc>
          <w:tcPr>
            <w:tcW w:w="3048" w:type="dxa"/>
          </w:tcPr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Abbasi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M.,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G., Rahim, A. A. (2020). Control strategies and simul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a hybrid-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microgrid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in grid-connected and islanded modes. Paper pr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sented at the 2020 IEEE 61st Annual Inte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national Scientific Conference on Power and Ele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trical Engineering of Riga Technical Un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versity, RTUCON 2020 - Procee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ings, doi:10.1109/RTUCON51174.2020.9316588 Retrieved from www.scopus.com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Abbasi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M.,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Hedayatpour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M.,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G. (2020).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Microgrid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voltage and frequency control using droop control based on master/slave method. Paper presented at the International Conference of Young Specialists on 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cro/Nanotechnologies and Electron Devi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es, EDM, 2020-June 1-5. Retrieved from www.scopus.com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R., Ibrahim, A. (2019). Voltage control of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tonomous three-phase four-leg VSI based on scalar PR controllers. Paper presented at the International Conference of Young Specialists on Micro/Nanotechnologies and Electron Devices, EDM, 2019-June 558-564. doi:10.1109/EDM.2019.8823098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Kyui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K.,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Sipa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N. Y.,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Fedorov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D. F. (2019). Simul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tion of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hyste-resis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clutches in ANSYS MAXWEL. Paper presented at the Intern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tional Conference of Young Specialists on Micro/Nanotechnologies and Electron 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vices, EDM, 2019-June 731-734. doi:10.1109/EDM.2019.8823307 Retrieved from www.scopus.com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G. (2019). Comparative study of control methods for power quality 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provement of autonomous 4-leg inverters. Paper presented at the Proceedings of the 1st IEEE 2019 International Youth Confe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ence on Radio Electronics, Electrical and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Power Engineering, REEPE 2019, doi:10.1109/REEPE.2019.8708773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G. (2019). Voltage control of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tonomous power supply systems based on PID controller under unbalanced and no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linear load conditions. Paper presented at the Proceedings of the 1st IEEE 2019 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ternational Youth Conference on Radio Electronics, Electrical and Power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ing, REEPE 2019, doi:10.1109/REEPE.2019.8708841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Efimov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Melnikov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Y.,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G. (2018). Simulation of aircraft electrical power supply system. Paper pr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sented at the 2018 4th International Confe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ence on Information Technologies in Engineering Education,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Inforino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2018 - Proceedings, doi:10.1109/INFORINO.2018.8581779 Retrieved from www.scopus.com</w:t>
            </w:r>
          </w:p>
          <w:p w:rsidR="008A2710" w:rsidRPr="00CF5451" w:rsidRDefault="008A2710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Kasheutov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Kashin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E. I. (2018). Phase current curve analyzing of hysteresis-synchronous motor powered with autonomous voltage inverter. Paper presented at the 2018 14th Intern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tional Scientific-Technical Conference on Actual Problems of Electronic Instrument Engineering, APEIE 2018 - Proceedings, 48-51. doi:10.1109/APEIE.2018.8545578 Retrieved from www.scopus.com</w:t>
            </w:r>
          </w:p>
          <w:p w:rsidR="00D55ABC" w:rsidRPr="00CF5451" w:rsidRDefault="008A2710" w:rsidP="008142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9.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Garganeev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Kyui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K.,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Kashin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Sipaylova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N. Y. (2018). Regulation characteristics of hysteresis clutches based on the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-co material. Paper presented at the 2018 14th Intern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tional Scientific-Technical Conference on Actual Problems of Electronic Instrument Engineering, APEIE 2018 - Proceedings, 115-118. doi:10.1109/APEIE.2018.8545340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</w:tc>
      </w:tr>
      <w:tr w:rsidR="006B33BE" w:rsidRPr="00CF5451" w:rsidTr="005442BF">
        <w:tc>
          <w:tcPr>
            <w:tcW w:w="432" w:type="dxa"/>
          </w:tcPr>
          <w:p w:rsidR="007379D5" w:rsidRPr="00CF5451" w:rsidRDefault="006B33BE" w:rsidP="007379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391" w:type="dxa"/>
          </w:tcPr>
          <w:p w:rsidR="007379D5" w:rsidRPr="00CF5451" w:rsidRDefault="007379D5" w:rsidP="007379D5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Глазырин Але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к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сандр Савель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е</w:t>
            </w:r>
            <w:r w:rsidRPr="00CF545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вич</w:t>
            </w:r>
          </w:p>
        </w:tc>
        <w:tc>
          <w:tcPr>
            <w:tcW w:w="1434" w:type="dxa"/>
          </w:tcPr>
          <w:p w:rsidR="007379D5" w:rsidRPr="00CF5451" w:rsidRDefault="007379D5" w:rsidP="007379D5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51" w:type="dxa"/>
          </w:tcPr>
          <w:p w:rsidR="007379D5" w:rsidRPr="00CF5451" w:rsidRDefault="007379D5" w:rsidP="007379D5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>Должность - профе</w:t>
            </w:r>
            <w:r w:rsidRPr="00CF5451">
              <w:rPr>
                <w:rFonts w:ascii="Arial" w:hAnsi="Arial" w:cs="Arial"/>
              </w:rPr>
              <w:t>с</w:t>
            </w:r>
            <w:r w:rsidRPr="00CF5451">
              <w:rPr>
                <w:rFonts w:ascii="Arial" w:hAnsi="Arial" w:cs="Arial"/>
              </w:rPr>
              <w:t>сор,</w:t>
            </w:r>
          </w:p>
          <w:p w:rsidR="007379D5" w:rsidRPr="00CF5451" w:rsidRDefault="007379D5" w:rsidP="007379D5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д. т.н., </w:t>
            </w:r>
          </w:p>
          <w:p w:rsidR="007379D5" w:rsidRPr="00CF5451" w:rsidRDefault="007379D5" w:rsidP="007379D5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Ученое зв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ние </w:t>
            </w:r>
            <w:r w:rsidR="005C7852" w:rsidRPr="00CF5451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CF5451">
              <w:rPr>
                <w:rFonts w:ascii="Arial" w:hAnsi="Arial" w:cs="Arial"/>
                <w:sz w:val="16"/>
                <w:szCs w:val="16"/>
              </w:rPr>
              <w:t>доцент</w:t>
            </w:r>
          </w:p>
        </w:tc>
        <w:tc>
          <w:tcPr>
            <w:tcW w:w="1943" w:type="dxa"/>
          </w:tcPr>
          <w:p w:rsidR="007379D5" w:rsidRPr="00CF5451" w:rsidRDefault="007379D5" w:rsidP="007379D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7379D5" w:rsidRPr="00CF5451" w:rsidRDefault="007379D5" w:rsidP="007379D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3.3. Электротехника, электронная техника, информационные технологии:</w:t>
            </w:r>
          </w:p>
          <w:p w:rsidR="007379D5" w:rsidRPr="00CF5451" w:rsidRDefault="007379D5" w:rsidP="007379D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 xml:space="preserve">Разработка и исследование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EC1A58" w:rsidRPr="00CF5451" w:rsidRDefault="00EC1A58" w:rsidP="00EC1A5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Гаврилин А.Н.,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Боловин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Е.В., Глазырин А.С., Кладиев С.Н., Полищук В.И. Резонан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ные колебания с предельной амплитудой в вибрационном электромагнитном активаторе. // Известия Томского политехн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ческого университета [Изв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стия ТПУ].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Национальный исследовател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Томский пол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технический университет (ТПУ). – 2019. – Т.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330, № 1. – С. 201-213.  (РИНЦ 0,945).</w:t>
            </w:r>
          </w:p>
          <w:p w:rsidR="00EC1A58" w:rsidRPr="00CF5451" w:rsidRDefault="00EC1A58" w:rsidP="00EC1A5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Полищук В.И., Герасимов Н.В.,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Крицкий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М.В., Глазырин А.С. Анализ влияния электрич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ских повреждений в обмотке возбуждения на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виброакти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>ность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синхронного турбодвиг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теля // Известия Томского пол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технического университета [И</w:t>
            </w:r>
            <w:r w:rsidRPr="00CF5451">
              <w:rPr>
                <w:rFonts w:ascii="Arial" w:hAnsi="Arial" w:cs="Arial"/>
                <w:sz w:val="16"/>
                <w:szCs w:val="16"/>
              </w:rPr>
              <w:t>з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вестия ТПУ].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Национальный иссл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довательский Томский полите</w:t>
            </w:r>
            <w:r w:rsidRPr="00CF5451">
              <w:rPr>
                <w:rFonts w:ascii="Arial" w:hAnsi="Arial" w:cs="Arial"/>
                <w:sz w:val="16"/>
                <w:szCs w:val="16"/>
              </w:rPr>
              <w:t>х</w:t>
            </w:r>
            <w:r w:rsidRPr="00CF5451">
              <w:rPr>
                <w:rFonts w:ascii="Arial" w:hAnsi="Arial" w:cs="Arial"/>
                <w:sz w:val="16"/>
                <w:szCs w:val="16"/>
              </w:rPr>
              <w:t>нический университет (ТПУ). – 2018. – Т. 329, № 1. – С. 140-149. (РИНЦ 0.896).</w:t>
            </w:r>
          </w:p>
          <w:p w:rsidR="00EC1A58" w:rsidRPr="00CF5451" w:rsidRDefault="00EC1A58" w:rsidP="00EC1A5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Глазырин А.С., Кладиев С.Н., Афанасьев К.С., Тимо</w:t>
            </w:r>
            <w:r w:rsidRPr="00CF5451">
              <w:rPr>
                <w:rFonts w:ascii="Arial" w:hAnsi="Arial" w:cs="Arial"/>
                <w:sz w:val="16"/>
                <w:szCs w:val="16"/>
              </w:rPr>
              <w:t>ш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кин В.В.,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Слепнёв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И.Г., Пол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щук В.И.,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Halasz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S. Разработка наблюдателя полного порядка с оперативным мониторингом момента сопротивления для погружных асинхронных эле</w:t>
            </w:r>
            <w:r w:rsidRPr="00CF5451">
              <w:rPr>
                <w:rFonts w:ascii="Arial" w:hAnsi="Arial" w:cs="Arial"/>
                <w:sz w:val="16"/>
                <w:szCs w:val="16"/>
              </w:rPr>
              <w:t>к</w:t>
            </w:r>
            <w:r w:rsidRPr="00CF5451">
              <w:rPr>
                <w:rFonts w:ascii="Arial" w:hAnsi="Arial" w:cs="Arial"/>
                <w:sz w:val="16"/>
                <w:szCs w:val="16"/>
              </w:rPr>
              <w:t>тродвигателей // Известия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ского политехнического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ситета [Известия ТПУ]. Инжин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>ный исследовательский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 (ТПУ). – 2018. – Т. 329, № 2. – С. 118-126. (РИНЦ 0.896).</w:t>
            </w:r>
          </w:p>
          <w:p w:rsidR="00EC1A58" w:rsidRPr="00CF5451" w:rsidRDefault="00EC1A58" w:rsidP="00EC1A5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Боловин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Е.В. Метод опр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деления параметров погружных асинхронных электродвигат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лей установок электроприво</w:t>
            </w:r>
            <w:r w:rsidRPr="00CF5451">
              <w:rPr>
                <w:rFonts w:ascii="Arial" w:hAnsi="Arial" w:cs="Arial"/>
                <w:sz w:val="16"/>
                <w:szCs w:val="16"/>
              </w:rPr>
              <w:t>д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ных центробежных насосов для добычи нефти / Е. В.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Боловин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, А. С. Глазырин // Известия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ского политехнического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ситета [Известия ТПУ]. Инжин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>ный исследовательский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 (ТПУ). – 2017. – Т. 328, № 1. – С. 123-131. (РИНЦ 0.896).</w:t>
            </w:r>
          </w:p>
          <w:p w:rsidR="007379D5" w:rsidRPr="00CF5451" w:rsidRDefault="00EC1A58" w:rsidP="00EC1A5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В. В. Тимошкин, А. С. Гл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зырин, А. Ю. Чернышев. Наблюдатель угловой скорости ротора асинхронных приводов электроцентробежных насо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ных установок. // Научный вестник Новосибирского государстве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 технического университета / Новосибирский государстве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ный технический университет (НГТУ). – 2017. – № 1 (66). – С. 63-73. (РИНЦ 0,478).</w:t>
            </w:r>
          </w:p>
        </w:tc>
        <w:tc>
          <w:tcPr>
            <w:tcW w:w="3301" w:type="dxa"/>
          </w:tcPr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Polishchuk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Timos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Bannov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M.,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Isaev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Antyaskin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I.,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 Z. Modelling of induction motor in multiphase coordinate sy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tem for asymmetry rotor cage. [МАТЕМАТИЧЕСКАЯ МОДЕЛЬ АСИНХРОННОГО ДВИГАТЕЛЯ В МУЛЬТИФАЗНОЙ СИСТЕМЕ КООРДИНАТ ПРИ НЕСИММЕТРИИ РОТОРНЫХ ЦЕПЕЙ] // Bulletin of the Tomsk Polytechnic University, Geo Assets Engineering. – 2021. Vol. 332, Issue 10, P. 213-227.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doi:10.18799/24131830/2021/10/3404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Isaev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Leonov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P.,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Kolesnikov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V.,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 Z. Unloaded oil-submersible cable reduced dynamic model order optimiz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based on the frequency response appro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imation. [ОПТИМИЗАЦИЯ ПОРЯДКА РЕ-ДУЦИРОВАННОЙ ДИНАМИЧЕСКОЙ МОДЕЛИ НЕНАГРУЖЕННОГО НЕФТЕПО-ГРУЖНОГО КАБЕЛЯ НА ОСНОВЕ АППРОКСИМАЦИИ АМПЛИТУДНО-ЧАСТОТНОЙ ХАРАКТЕРИСТИКИ] // Bulletin of the Tomsk Polytechnic University, Geo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sets Engineering. – 2021. Vol. 332, Issue 9, P. 154-167. doi:10.18799/24131830/2021/9/3365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Langraf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Isaev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Filipas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Kopyrin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A.,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Lavrinovich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V.</w:t>
            </w:r>
            <w:r w:rsidR="00EC1A58"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Determination of running electrical characteristics of oil su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mersible cable. [ОПРЕДЕЛЕНИЕ ПОГОННЫХ ЭЛЕКТРОТЕХНИЧЕСКИХ ПАРАМЕТРОВ НЕФТЕПОГРУЖНОГО КАБЕЛЯ] // Bulletin of the Tomsk Polytechnic University, Geo Assets Engineering. – 2021. Vol. 332, Issue 6, P. 186-197. doi:10.18799/24131830/2021/06/3249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Kopyrin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Khamitov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Portnyagin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L., Markova, A. A. EVALU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TOTAL COST of POSSESSING the ELECTRIC CE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TRIFUGAL PUMP with SUBMERSIBLE CO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PENSATOR. // Bulletin of the Tomsk Polytec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nic University, Geo Assets Engineering. – 2021. Vol. 332, Issue 2, P. 166-175. doi:10.18799/24131830/2021/2/3053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Bunkov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Bolovin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Krokhta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Bannov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M.,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Z.,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Leonov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P. Research of a squirrel-cage induction generator for renewable energy with non-stationary capacitor excitation. [ИССЛЕДОВАНИЕ АСИНХРОННОЙ ЭЛЕК-ТРИЧЕСКОЙ МАШИНЫ С КОРОТКОЗАМКНУТЫМ РОТОРОМ ДЛЯ ВОЗОБНОВ-ЛЯЕМОЙ ЭНЕРГЕТИКИ ПРИ НЕСТАЦИОНАРНОМ КОНДЕНСАТОРНОМ ВОЗ-БУЖДЕНИИ] // Bulletin of the Tomsk Polytechnic University, Geo Assets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ing. – 2020. Vol. 331, Issue 12, P. 187-199. doi:10.18799/24131830/2020/12/2952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Shubin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Yamaliev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U.,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Bunkov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V.,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Khamitov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R. N. ESTIMATION of SU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MERSIBLE INDUCTION MOTOR EQUIVA-LENT CIRCUIT PARAMETERS BASED on TEST DATA. [ОПРЕДЕЛЕНИЕ ПАРАМЕТ-РОВ СХЕМЫ ЗАМЕЩЕНИЯ ПОГРУЖНОГО ЭЛЕКТРОДВИГАТЕЛЯ НА ОСНОВА-НИИ ДАННЫХ ИСПЫТАНИЙ] // Bulletin of the Tomsk Pol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technic University, Geo As-sets Engineering. – 2021. Vol. 332, Issue 1, P. 204-214. doi:10.18799/24131830/2021/1/3013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Anikin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Bunkov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Antyaskin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Startseva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Z.,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Filipas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A. Nonlinear alg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braic estimation of a vibration electromagnetic act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vator inductivity by a failing current curve. // Bulletin of the Tomsk Polytechnic Univers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ty, Geo Assets Engineering. – 2020. Vol. 331, Issue 1, P. 148-157. doi:10.18799/24131830/2020/1/2456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Polishchuk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Timoshkin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Bolovin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E. V. (2019). A di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creet mathematical model based on the bilinear transformation of a synchronous electric ma-chine with a turn-to-turn fault in the rotor win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ing. // Russian Electrical Engineering. – 2019. Vol. 90, Issue 2, P. 113-120.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doi: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10.3103/S1068371219020081 (Web of Science/Scopus, 2.2).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9.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Gavrilin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Bolovin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Polishchuk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 I. Identific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parameters of vibration electroma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netic activator mechanical system using limi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ing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nearresonance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frequency. [ИДЕНТИФИКАЦИЯ ПАРАМЕТРОВ МЕХАНИЧЕСКОЙ СИСТЕМЫ ВИБРАЦИОННОГО ЭЛЕКТРОМАГНИТНОГО АКТИВАТОРА ПО ГРА-НИЧНЫМ ОКОЛОРЕЗОНАНСНЫМ ЧАСТОТАМ] // Bu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letin of the Tomsk Polytechnic University, Geo Assets Engineering. – 2019. Vol. 330, Issue 4, P. 158-177. doi:10.18799/24131830/2019/4/224 (Web of Science/Scopus, 1.3).</w:t>
            </w:r>
          </w:p>
          <w:p w:rsidR="007379D5" w:rsidRPr="00CF5451" w:rsidRDefault="007379D5" w:rsidP="007379D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10.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Vajda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Ustinova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Bolo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E. Influence of design methods a discrete model of separately excited DC motor on p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rameters estimation. //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Acta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Polytechnica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garica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– 2018. Vol. 15, Issue 6, P. 219-233. doi:10.12700/APH.15.6.2018.6.11 (Web of Science/Scopus, 4.6).</w:t>
            </w:r>
          </w:p>
        </w:tc>
        <w:tc>
          <w:tcPr>
            <w:tcW w:w="3048" w:type="dxa"/>
          </w:tcPr>
          <w:p w:rsidR="00EC1A58" w:rsidRPr="00CF5451" w:rsidRDefault="00EC1A58" w:rsidP="00EC1A5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Измерение мгновенных значений магнитного поля в асинхронном двиг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теле с помощью измерительных обм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ток =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Measurement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instantaneous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netic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field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values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an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induction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motor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using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measuring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windings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/ И. А.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Набу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, К. В. Образцов, А. С. Глазырин [и др.] // Современные технологии, экон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мика и образование сборник матери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лов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Вс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российской научно-методической ко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ференции, г. Томск, 2-4 сентября 2020 г.: / Национальный и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следовательский Томский политехнич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университет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 xml:space="preserve"> ;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под ред. А. Г.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Феф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ловой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, Е. А. Покровской, И. О. Болот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ной [и др.]. – Томск: Изд-во ТПУ, 2020. – С. 136-138.</w:t>
            </w:r>
          </w:p>
          <w:p w:rsidR="007379D5" w:rsidRPr="00CF5451" w:rsidRDefault="00EC1A58" w:rsidP="00EC1A58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Проекционный алгоритм идентиф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кации параметров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RL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-цепи / Д. И.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Антя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кин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А. С. Глазырин, Е. В.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Бол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вин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И. Г.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Слепнёв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// Энергосбережение и иннов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ционные технологии в топли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но-энергетическом комплексе материалы Национальной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 международным уч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стием научно-практической конфере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ции студентов, аспирантов, ученых и специалистов, посвященной 20-летию создания кафедры электроэнергетики, 18-20 Декабря 2019, Тюмень: в 2 т.: / Тюменский индустриальный универс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тет. – 2019.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– Т. 2. – С. 219-221.</w:t>
            </w:r>
          </w:p>
        </w:tc>
      </w:tr>
      <w:tr w:rsidR="005442BF" w:rsidRPr="00CF5451" w:rsidTr="00DC7C70">
        <w:tc>
          <w:tcPr>
            <w:tcW w:w="432" w:type="dxa"/>
          </w:tcPr>
          <w:p w:rsidR="005442BF" w:rsidRPr="00CF5451" w:rsidRDefault="005442BF" w:rsidP="00E417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391" w:type="dxa"/>
          </w:tcPr>
          <w:p w:rsidR="005442BF" w:rsidRPr="00CF5451" w:rsidRDefault="005442BF" w:rsidP="006B33B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Кладиев Се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гей Никола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вич</w:t>
            </w:r>
          </w:p>
        </w:tc>
        <w:tc>
          <w:tcPr>
            <w:tcW w:w="1434" w:type="dxa"/>
          </w:tcPr>
          <w:p w:rsidR="005442BF" w:rsidRPr="00CF5451" w:rsidRDefault="005442BF" w:rsidP="00E417EC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51" w:type="dxa"/>
          </w:tcPr>
          <w:p w:rsidR="005442BF" w:rsidRPr="00CF5451" w:rsidRDefault="005442BF" w:rsidP="00E417EC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Должность - доцент, к.т.н., Уч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ное звание – доцент</w:t>
            </w:r>
          </w:p>
        </w:tc>
        <w:tc>
          <w:tcPr>
            <w:tcW w:w="1943" w:type="dxa"/>
          </w:tcPr>
          <w:p w:rsidR="005442BF" w:rsidRPr="00CF5451" w:rsidRDefault="005442BF" w:rsidP="00ED72E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В рамках направления научных </w:t>
            </w:r>
            <w:r w:rsidRPr="00CF5451">
              <w:rPr>
                <w:rFonts w:ascii="Arial" w:hAnsi="Arial" w:cs="Arial"/>
                <w:b/>
                <w:sz w:val="16"/>
                <w:szCs w:val="16"/>
              </w:rPr>
              <w:lastRenderedPageBreak/>
              <w:t>исследований ТПУ</w:t>
            </w:r>
          </w:p>
          <w:p w:rsidR="005442BF" w:rsidRPr="00CF5451" w:rsidRDefault="005442BF" w:rsidP="00ED72E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3.3. Электротехника, электронная техника, информационные технологии:</w:t>
            </w:r>
          </w:p>
          <w:p w:rsidR="005442BF" w:rsidRPr="00CF5451" w:rsidRDefault="005442BF" w:rsidP="008C7B64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Разработка и исследование 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Рахим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А.А.Р., Кладиев С.Н.,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Саиди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С. Сравнительный анализ методов управления с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прогнозирующими моделями шестифазным синхронным дв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гателем с постоянными магн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тами // Омский научный вестник. – 2020. – Т. 171, № 3. С. 51-56.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2021 – 0.263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Рахим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А.А.Р., Кладиев С.Н.,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Саиди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С. Имитационное исследование системы упра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>ления шестифазным синхро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ным двигателем с постоянными магнитами на основе прогноз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рующей модели. // Доклады Томского государственного университета систем управл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ния и радиоэлектроники. 2020. Т. 23. № 1. С. 97-104.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2020 – 0,325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Резонансные колебания с предельной амплитудой в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ви</w:t>
            </w:r>
            <w:r w:rsidRPr="00CF5451">
              <w:rPr>
                <w:rFonts w:ascii="Arial" w:hAnsi="Arial" w:cs="Arial"/>
                <w:sz w:val="16"/>
                <w:szCs w:val="16"/>
              </w:rPr>
              <w:t>б</w:t>
            </w:r>
            <w:r w:rsidRPr="00CF5451">
              <w:rPr>
                <w:rFonts w:ascii="Arial" w:hAnsi="Arial" w:cs="Arial"/>
                <w:sz w:val="16"/>
                <w:szCs w:val="16"/>
              </w:rPr>
              <w:t>рационом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электромагнитном активаторе / А. Н.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Гаврилин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[и др.] // Известия Томского пол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технического университета [И</w:t>
            </w:r>
            <w:r w:rsidRPr="00CF5451">
              <w:rPr>
                <w:rFonts w:ascii="Arial" w:hAnsi="Arial" w:cs="Arial"/>
                <w:sz w:val="16"/>
                <w:szCs w:val="16"/>
              </w:rPr>
              <w:t>з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вестия ТПУ].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Национальный иссл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довательский Томский полите</w:t>
            </w:r>
            <w:r w:rsidRPr="00CF5451">
              <w:rPr>
                <w:rFonts w:ascii="Arial" w:hAnsi="Arial" w:cs="Arial"/>
                <w:sz w:val="16"/>
                <w:szCs w:val="16"/>
              </w:rPr>
              <w:t>х</w:t>
            </w:r>
            <w:r w:rsidRPr="00CF5451">
              <w:rPr>
                <w:rFonts w:ascii="Arial" w:hAnsi="Arial" w:cs="Arial"/>
                <w:sz w:val="16"/>
                <w:szCs w:val="16"/>
              </w:rPr>
              <w:t>нический университет (ТПУ). – 2019. – Т. 330, № 1. – С. 201-213. (РИНЦ 0.896).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Идентификация параме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>ров механической системы ви</w:t>
            </w:r>
            <w:r w:rsidRPr="00CF5451">
              <w:rPr>
                <w:rFonts w:ascii="Arial" w:hAnsi="Arial" w:cs="Arial"/>
                <w:sz w:val="16"/>
                <w:szCs w:val="16"/>
              </w:rPr>
              <w:t>б</w:t>
            </w:r>
            <w:r w:rsidRPr="00CF5451">
              <w:rPr>
                <w:rFonts w:ascii="Arial" w:hAnsi="Arial" w:cs="Arial"/>
                <w:sz w:val="16"/>
                <w:szCs w:val="16"/>
              </w:rPr>
              <w:t>рационного электромагни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 активатора по граничным ок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лорезонансным частотам / А. Н.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Гаврилин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[и др.] // Изв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стия Томского политехническ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го университета [Известия ТПУ].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Национальный исследовател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Томский политехнический университет (ТПУ). – 2019. – Т. 330, № 4. – С. 158-177.  (РИНЦ 0.896).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Исследование нелинейной модели подвижной подовой платформы электрической печи для обжига сыпучих минералов / А. И.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Нижегородов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[и др.] // Известия Томского политехн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ческого университета [Известия ТПУ].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Национальный исследовател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ский Томский политехнический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университет (ТПУ). – 2019. – Т. 330, № 9. – С. 172-183. (РИНЦ 0.896).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Разработка наблюдателя полного порядка с оперативным мониторингом момента сопр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тивления для погружных аси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хронных электродвигателей / А. С. Глазырин [и др.] // Известия Томского политехнического университета [Известия ТПУ].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Национальный исследовател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Томский политехнический университет (ТПУ). – 2018. – Т. 329, № 2. – С. 118-126. (РИНЦ 0.896).</w:t>
            </w:r>
          </w:p>
          <w:p w:rsidR="005442BF" w:rsidRPr="00CF5451" w:rsidRDefault="005442BF" w:rsidP="00296CA4">
            <w:pPr>
              <w:pStyle w:val="af1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Оценочные исслед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вания тягового асинхронного электродвигателя с пониже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ным напряжением питания для ру</w:t>
            </w:r>
            <w:r w:rsidRPr="00CF5451">
              <w:rPr>
                <w:rFonts w:ascii="Arial" w:hAnsi="Arial" w:cs="Arial"/>
                <w:sz w:val="16"/>
                <w:szCs w:val="16"/>
              </w:rPr>
              <w:t>д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ничного электровоза / О. В. Арсентьев [и др.] // Известия Томского политехнического университета [Известия ТПУ].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 Национальный исследовател</w:t>
            </w:r>
            <w:r w:rsidRPr="00CF5451">
              <w:rPr>
                <w:rFonts w:ascii="Arial" w:hAnsi="Arial" w:cs="Arial"/>
                <w:sz w:val="16"/>
                <w:szCs w:val="16"/>
              </w:rPr>
              <w:t>ь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Томский политехнический университет (ТПУ). – 2017. – Т. 328, № 11. – С. 126-138. (РИНЦ 0.896).</w:t>
            </w:r>
          </w:p>
        </w:tc>
        <w:tc>
          <w:tcPr>
            <w:tcW w:w="3301" w:type="dxa"/>
          </w:tcPr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Polishchuk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Timos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Bannov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M.,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Isaev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Antyaskin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Z. Modelling of induction motor in mult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phase coordinate system for asymmetry rotor cage. [</w:t>
            </w:r>
            <w:r w:rsidRPr="00CF5451">
              <w:rPr>
                <w:rFonts w:ascii="Arial" w:hAnsi="Arial" w:cs="Arial"/>
                <w:sz w:val="16"/>
                <w:szCs w:val="16"/>
              </w:rPr>
              <w:t>МАТЕМАТИЧЕСКАЯ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МОДЕЛЬ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АСИНХРОН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ДВИГАТЕЛЯ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МУЛЬТИФАЗНОЙ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СИСТЕМЕ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КООРД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НАТ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ПРИ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НЕСИМ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CF5451">
              <w:rPr>
                <w:rFonts w:ascii="Arial" w:hAnsi="Arial" w:cs="Arial"/>
                <w:sz w:val="16"/>
                <w:szCs w:val="16"/>
              </w:rPr>
              <w:t>МЕТРИИ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РОТОРНЫХ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ЦЕПЕЙ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Polytechnic University, Geo As-sets Engineering. – 2021. Vol. 332, Issue 10, P. 213-227. doi:10.18799/24131830/2021/10/3404 (Web of Science/Scopus, 1.3).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Isaev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Leonov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P.,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Kolesnikov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V.,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 Z. Unloaded oil-submersible cable reduced dynamic model order optimiz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based on the frequency response appro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imation. [</w:t>
            </w:r>
            <w:r w:rsidRPr="00CF5451">
              <w:rPr>
                <w:rFonts w:ascii="Arial" w:hAnsi="Arial" w:cs="Arial"/>
                <w:sz w:val="16"/>
                <w:szCs w:val="16"/>
              </w:rPr>
              <w:t>ОПТИМИЗАЦИЯ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ПОРЯДКА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РЕД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>ЦИРОВАННОЙ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ДИН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МИЧЕСКОЙ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МОДЕЛИ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НЕНАГРУЖЕ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НЕФТЕПОГРУЖНОГО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КАБЕЛЯ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НА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ОСНОВЕ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АППРОКСИМАЦИИ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АМПЛИТУДНО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CF5451">
              <w:rPr>
                <w:rFonts w:ascii="Arial" w:hAnsi="Arial" w:cs="Arial"/>
                <w:sz w:val="16"/>
                <w:szCs w:val="16"/>
              </w:rPr>
              <w:t>ЧАСТОТНОЙ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ХАРАКТЕР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СТИКИ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Polytechnic Un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versity, Geo Assets Engineering. – 2021. Vol. 332, Issue 9, P. 154-167. doi:10.18799/24131830/2021/9/3365 (Web of Science/Scopus, 1.3).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Korovin, G.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Gavrilin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Petrushin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S. N. Determi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 rational modes of mechanical pr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cessing of titanium body elements of oil and gas equi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ment by end-end machines (according to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23248-78) and wave-shaped cutters. [</w:t>
            </w:r>
            <w:r w:rsidRPr="00CF5451">
              <w:rPr>
                <w:rFonts w:ascii="Arial" w:hAnsi="Arial" w:cs="Arial"/>
                <w:sz w:val="16"/>
                <w:szCs w:val="16"/>
              </w:rPr>
              <w:t>ОПР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ДЕЛЕНИЕ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РАЦИОНАЛЬНЫХ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ЖИМОВ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МЕХАНИЧЕСКОЙ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ТИТАН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ВЫХ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КОРПУСНЫХ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ЭЛЕМЕНТОВ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НЕФТЕГ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ЗОВОГО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ОБОРУДОВАНИЯ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КОНЦЕВЫМИ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CF5451">
              <w:rPr>
                <w:rFonts w:ascii="Arial" w:hAnsi="Arial" w:cs="Arial"/>
                <w:sz w:val="16"/>
                <w:szCs w:val="16"/>
              </w:rPr>
              <w:t>ПО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ГОСТ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23248-78) 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ВОЛНОВЫМИ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ФР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ЗАМИ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Polytechnic University, Geo Assets Engineering. – 2021. Vol. 332, Issue 7, P. 75-84. doi:10.18799/24131830/2021/7/3265 (Web of Science/Scopus, 1.3).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Langraf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Isaev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Filipas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Kopyrin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A.,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Lavrinovich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V. Determination of running electrical characteristics of oil su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mersible cable. [</w:t>
            </w:r>
            <w:r w:rsidRPr="00CF5451">
              <w:rPr>
                <w:rFonts w:ascii="Arial" w:hAnsi="Arial" w:cs="Arial"/>
                <w:sz w:val="16"/>
                <w:szCs w:val="16"/>
              </w:rPr>
              <w:t>ОПРЕДЕЛЕНИЕ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ПОГОННЫХ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ЭЛЕ</w:t>
            </w:r>
            <w:r w:rsidRPr="00CF5451">
              <w:rPr>
                <w:rFonts w:ascii="Arial" w:hAnsi="Arial" w:cs="Arial"/>
                <w:sz w:val="16"/>
                <w:szCs w:val="16"/>
              </w:rPr>
              <w:t>К</w:t>
            </w:r>
            <w:r w:rsidRPr="00CF5451">
              <w:rPr>
                <w:rFonts w:ascii="Arial" w:hAnsi="Arial" w:cs="Arial"/>
                <w:sz w:val="16"/>
                <w:szCs w:val="16"/>
              </w:rPr>
              <w:t>ТРОТЕХНИЧЕСКИХ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ПАРАМЕТРОВ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НЕФТЕПОГРУЖНОГО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КАБЕЛЯ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Polytechnic Univers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ty, Geo Assets Engineering. – 2021. Vol. 332, № 6, P. 186-197. doi:10.18799/24131830/2021/06/3249 (Web of Science/Scopus, 1.3).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Borisov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Koltunova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 Traction asynchronous electric drive of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mine electric locomotive simulation model structure improvement. // Journal of Mining Institute. – 2021. Vol. 247, Issue 1, P. 114-121. doi:10.31897/PMI.2021.1.12 (Web of Sc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ence/Scopus, 4.0).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Kopyrin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Khamitov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Portnyagin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L., Markova, A. A. EVALU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TOTAL COST of POSSESSING the ELECTRIC CEN-TRIFUGAL PUMP with SUBMERSIBLE CO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PENSATOR. // Bulletin of the Tomsk Poly-technic University, Geo Assets Engineering. – 2021. Vol. 332, Issue 2, P. 166-175. doi:10.18799/24131830/2021/2/3053 (Web of Science/Scopus, 1.3).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Bunkov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Bolovin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Krokhta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Bannov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M.,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Kovalev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Z.,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Leonov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P.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search of a squirrel-cage induction generator for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newable energy with non-stationary capacitor excitation. [</w:t>
            </w:r>
            <w:r w:rsidRPr="00CF5451">
              <w:rPr>
                <w:rFonts w:ascii="Arial" w:hAnsi="Arial" w:cs="Arial"/>
                <w:sz w:val="16"/>
                <w:szCs w:val="16"/>
              </w:rPr>
              <w:t>ИССЛЕДОВАНИЕ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АСИНХРО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ЭЛЕКТРИЧЕСКОЙ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МАШИНЫ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РОТКОЗАМКНУТЫМ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РОТОРОМ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ДЛЯ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ВО</w:t>
            </w:r>
            <w:r w:rsidRPr="00CF5451">
              <w:rPr>
                <w:rFonts w:ascii="Arial" w:hAnsi="Arial" w:cs="Arial"/>
                <w:sz w:val="16"/>
                <w:szCs w:val="16"/>
              </w:rPr>
              <w:t>З</w:t>
            </w:r>
            <w:r w:rsidRPr="00CF5451">
              <w:rPr>
                <w:rFonts w:ascii="Arial" w:hAnsi="Arial" w:cs="Arial"/>
                <w:sz w:val="16"/>
                <w:szCs w:val="16"/>
              </w:rPr>
              <w:t>ОБНОВЛЯЕМОЙ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ЭНЕРГЕТИКИ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ПРИ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СТАЦИОНАРНОМ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КОНДЕНС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ТОРНОМ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ВОЗБУЖДЕНИИ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technic University, Geo Assets Engineering. – 2020. Vol. 331, Issue 12, P. 187-199. doi:10.18799/24131830/2020/12/2952 (Web of Science/Scopus, 1.3).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Shubin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Yamaliev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U.,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Bunkov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V.,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Khamitov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R. N. ESTIMATION of SU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MERSIBLE INDUCTION MOTOR EQUIV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LENT CIRCUIT PARAMETERS BASED on TEST DATA. [</w:t>
            </w:r>
            <w:r w:rsidRPr="00CF5451">
              <w:rPr>
                <w:rFonts w:ascii="Arial" w:hAnsi="Arial" w:cs="Arial"/>
                <w:sz w:val="16"/>
                <w:szCs w:val="16"/>
              </w:rPr>
              <w:t>ОПРЕДЕЛЕНИЕ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ПАРАМЕ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>РОВ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СХЕМЫ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ЗАМЕЩЕНИЯ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ПОГРУЖНОГО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ЭЛЕКТРОДВИГАТЕЛЯ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НА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ОСНОВАНИИ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ДАННЫХ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ИСПЫТ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НИЙ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Polytechnic University, Geo Assets Engineering. – 2021. Vol. 332, Issue 1, P. 204-214. doi:10.18799/24131830/2021/1/3013 (Web of Science/Scopus, 1.3).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9.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Glazyrin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Anikin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Bunkov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Antyaskin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Startseva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Y.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valev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Z.,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N., . . 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Filipas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A. Nonlin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ar algebraic estimation of a vibration electr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magnetic activator inductivity by a failing cu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rent curve. // Bulletin of the Tomsk Polytechnic University, Geo Assets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ing. – 2020.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Vol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. 331,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Issue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1, P. 148-157. doi:10.18799/24131830/2020/1/2456 (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Web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Science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Scopus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, 1.3).</w:t>
            </w:r>
          </w:p>
          <w:p w:rsidR="005442BF" w:rsidRPr="00CF5451" w:rsidRDefault="005442BF" w:rsidP="00814275">
            <w:pPr>
              <w:pStyle w:val="af1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48" w:type="dxa"/>
          </w:tcPr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Кладиев, Сергей Николаевич. Да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>чики тока и напряжения в системах а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томатизированного электропривода / С.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Н. Кладиев, Д. Е. Воронцов, Г. А. Кли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кин // Современные проблемы машин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строения сборник трудов XIV Междун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родной научно-технической конфере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ции, г. Томск, 25-30 октября 2021 г.: / Национальный исследовательский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университет (ТПУ); под ред. Е. Н. Пашкова. – Томск: Томский политехнический ун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верситет, 2021. – С. 63-64.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Любимов, А. В. Особенности упра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>ления вентильными электродвигател</w:t>
            </w:r>
            <w:r w:rsidRPr="00CF5451">
              <w:rPr>
                <w:rFonts w:ascii="Arial" w:hAnsi="Arial" w:cs="Arial"/>
                <w:sz w:val="16"/>
                <w:szCs w:val="16"/>
              </w:rPr>
              <w:t>я</w:t>
            </w:r>
            <w:r w:rsidRPr="00CF5451">
              <w:rPr>
                <w:rFonts w:ascii="Arial" w:hAnsi="Arial" w:cs="Arial"/>
                <w:sz w:val="16"/>
                <w:szCs w:val="16"/>
              </w:rPr>
              <w:t>ми / А. В. Любимов, С. Н. Кладиев // Современные проблемы машиностро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ния сборник трудов XIV Междунаро</w:t>
            </w:r>
            <w:r w:rsidRPr="00CF5451">
              <w:rPr>
                <w:rFonts w:ascii="Arial" w:hAnsi="Arial" w:cs="Arial"/>
                <w:sz w:val="16"/>
                <w:szCs w:val="16"/>
              </w:rPr>
              <w:t>д</w:t>
            </w:r>
            <w:r w:rsidRPr="00CF5451">
              <w:rPr>
                <w:rFonts w:ascii="Arial" w:hAnsi="Arial" w:cs="Arial"/>
                <w:sz w:val="16"/>
                <w:szCs w:val="16"/>
              </w:rPr>
              <w:t>ной научно-технической конференции, г. Томск, 25-30 октября 2021 г.: / Наци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нальный исследовательский Томский политехнический университет (ТПУ); под ред. Е. Н. Пашкова. – Томск: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университет, 2021. – С.69-70.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Айтенов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Р. К. Особенности защит на автомобильном подъемнике / Р. К.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Айтенов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, С. Н. Кладиев // Современные проблемы машиностроения сборник трудов XIII Международной научно-технической конференции, г. Томск, 26-30 октября 2020 г.: / Национальный и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следовательский Томский политехнич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университет (ТПУ); под ред. Е. Н. Пашкова. – Томск: Томский политехн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ческий университет, 2020. – С.69-70.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Парамонов, Н. А. Преобразователь для питания двигателя постоянного тока электробуса / Н. А. Парамонов, С. Н. Кладиев // Современные проблемы м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шиностроения сборник трудов XIII Ме</w:t>
            </w:r>
            <w:r w:rsidRPr="00CF5451">
              <w:rPr>
                <w:rFonts w:ascii="Arial" w:hAnsi="Arial" w:cs="Arial"/>
                <w:sz w:val="16"/>
                <w:szCs w:val="16"/>
              </w:rPr>
              <w:t>ж</w:t>
            </w:r>
            <w:r w:rsidRPr="00CF5451">
              <w:rPr>
                <w:rFonts w:ascii="Arial" w:hAnsi="Arial" w:cs="Arial"/>
                <w:sz w:val="16"/>
                <w:szCs w:val="16"/>
              </w:rPr>
              <w:t>дународной научно-технической конф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ренции, г. Томск, 26-30 октября 2020 г.: / Национальный исследовательский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университет (ТПУ); под ред. Е. Н. Пашкова. – Томск: Томский политехнический ун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верситет, 2020. – С. 107-108.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Халанская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, Т. Е. Исследование режимов работы погружного электр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центробежного насоса добычи нефти / Т. Е.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Халанская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, С. Н. Кладиев // Совр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менные проблемы машиностроения сборник трудов XIII Международной научно-технической конференции, г. Томск, 26-30 октября 2020 г.: / Наци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нальный исследовательский Томский политехнический университет (ТПУ); под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ред. Е. Н. Пашкова. – Томск: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университет, 2020. – С. 113-114.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Ryndin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I.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Brendakov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V. 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S. N. (2019).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Research of the acceleration dynamics of the horizontal separation centrifuge for drilling mud clea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ing. Paper presented at the Journal of Physics: Conference Series, 1260(5) doi:10.1088/1742-6596/1260/5/052028 Retrieved from www.scopus.com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Кладиев, Сергей Николаевич. Ос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бенности работы УЭЦН в осложненных условиях / С. Н. Кладиев, Т. Е. Борисе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ко // Современные проблемы машин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строения сборник научных трудов XII Международной научно-технической конференции, г. Томск, 28 октября - 1 ноября 2019 г.: / Национальный иссл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довательский Томский политехнический университет (ТПУ); под ред. А. Ю.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Арл</w:t>
            </w:r>
            <w:r w:rsidRPr="00CF5451">
              <w:rPr>
                <w:rFonts w:ascii="Arial" w:hAnsi="Arial" w:cs="Arial"/>
                <w:sz w:val="16"/>
                <w:szCs w:val="16"/>
              </w:rPr>
              <w:t>я</w:t>
            </w:r>
            <w:r w:rsidRPr="00CF5451">
              <w:rPr>
                <w:rFonts w:ascii="Arial" w:hAnsi="Arial" w:cs="Arial"/>
                <w:sz w:val="16"/>
                <w:szCs w:val="16"/>
              </w:rPr>
              <w:t>пова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[и др.]. – Томск: Изд-во ТПУ, 2019. – С. 93-95.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8.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Белоусов, Р. А. Интеллектуальная система освещения крупных торговых комплексов / Р. А. Белоусов, А. С. Кар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кулов, С. Н. Кладиев; науч. рук. С. Н. Кладиев // Интеллектуальные энергос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стемы труды V Международного мол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дёжного форума, 9-13 октября 2017 г., г. Томск: в 3 т.: / Национальный исслед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вательский Томский политехнический университет (ТПУ), Энергетический и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ститут (ЭНИН). – 2017. – Т. 2. – С. 125-129.</w:t>
            </w:r>
          </w:p>
          <w:p w:rsidR="005442BF" w:rsidRPr="00CF5451" w:rsidRDefault="005442BF" w:rsidP="00ED72EE">
            <w:pPr>
              <w:pStyle w:val="af1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9.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Sergey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Nikolaevich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Vector Control System Design for Four Degree-of-Freedom Dynamic Flexible Si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ulation of the Variable-Frequency Drive / S. N.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Kladiev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V.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Solozhenko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A.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Filipas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MATEC Web of Conferences . – 2017. – Vol. 91: Smart Grids 2017. – [01040, 4 p.].</w:t>
            </w:r>
          </w:p>
        </w:tc>
      </w:tr>
      <w:tr w:rsidR="005442BF" w:rsidRPr="00CF5451" w:rsidTr="00DC7C70">
        <w:tc>
          <w:tcPr>
            <w:tcW w:w="432" w:type="dxa"/>
          </w:tcPr>
          <w:p w:rsidR="005442BF" w:rsidRPr="00CF5451" w:rsidRDefault="005442BF" w:rsidP="00ED72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391" w:type="dxa"/>
          </w:tcPr>
          <w:p w:rsidR="005442BF" w:rsidRPr="00CF5451" w:rsidRDefault="005442BF" w:rsidP="00795BF4">
            <w:pPr>
              <w:pStyle w:val="a6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Лукутин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Борис </w:t>
            </w:r>
          </w:p>
          <w:p w:rsidR="005442BF" w:rsidRPr="00CF5451" w:rsidRDefault="005442BF" w:rsidP="00ED72E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434" w:type="dxa"/>
          </w:tcPr>
          <w:p w:rsidR="005442BF" w:rsidRPr="00CF5451" w:rsidRDefault="005442BF" w:rsidP="00ED72E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штатный</w:t>
            </w:r>
          </w:p>
        </w:tc>
        <w:tc>
          <w:tcPr>
            <w:tcW w:w="1151" w:type="dxa"/>
          </w:tcPr>
          <w:p w:rsidR="005442BF" w:rsidRPr="00CF5451" w:rsidRDefault="005442BF" w:rsidP="00795BF4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Должность </w:t>
            </w:r>
            <w:r w:rsidRPr="00CF5451">
              <w:rPr>
                <w:rFonts w:ascii="Arial" w:hAnsi="Arial" w:cs="Arial"/>
              </w:rPr>
              <w:lastRenderedPageBreak/>
              <w:t>- профе</w:t>
            </w:r>
            <w:r w:rsidRPr="00CF5451">
              <w:rPr>
                <w:rFonts w:ascii="Arial" w:hAnsi="Arial" w:cs="Arial"/>
              </w:rPr>
              <w:t>с</w:t>
            </w:r>
            <w:r w:rsidRPr="00CF5451">
              <w:rPr>
                <w:rFonts w:ascii="Arial" w:hAnsi="Arial" w:cs="Arial"/>
              </w:rPr>
              <w:t>сор,</w:t>
            </w:r>
          </w:p>
          <w:p w:rsidR="005442BF" w:rsidRPr="00CF5451" w:rsidRDefault="005442BF" w:rsidP="00795BF4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д. т.н., </w:t>
            </w:r>
          </w:p>
          <w:p w:rsidR="005442BF" w:rsidRPr="00CF5451" w:rsidRDefault="005442BF" w:rsidP="005C7852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Ученое зв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ние профе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сор</w:t>
            </w:r>
          </w:p>
        </w:tc>
        <w:tc>
          <w:tcPr>
            <w:tcW w:w="1943" w:type="dxa"/>
          </w:tcPr>
          <w:p w:rsidR="005442BF" w:rsidRPr="00CF5451" w:rsidRDefault="005442BF" w:rsidP="00795BF4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В рамках </w:t>
            </w:r>
            <w:r w:rsidRPr="00CF5451">
              <w:rPr>
                <w:rFonts w:ascii="Arial" w:hAnsi="Arial" w:cs="Arial"/>
                <w:b/>
                <w:sz w:val="16"/>
                <w:szCs w:val="16"/>
              </w:rPr>
              <w:lastRenderedPageBreak/>
              <w:t>направления научных исследований ТПУ</w:t>
            </w:r>
          </w:p>
          <w:p w:rsidR="005442BF" w:rsidRPr="00CF5451" w:rsidRDefault="005442BF" w:rsidP="00795BF4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3.3. Электротехника, электронная техника, информационные технологии:</w:t>
            </w:r>
          </w:p>
          <w:p w:rsidR="005442BF" w:rsidRPr="00CF5451" w:rsidRDefault="005442BF" w:rsidP="00ED72E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Разработка и исследование 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Лукутин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Б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Киушкина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. The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characteristics of energy security in decentralized zones and auto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omous objects of electr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fication // </w:t>
            </w:r>
            <w:r w:rsidRPr="00CF5451">
              <w:rPr>
                <w:rFonts w:ascii="Arial" w:hAnsi="Arial" w:cs="Arial"/>
                <w:sz w:val="16"/>
                <w:szCs w:val="16"/>
              </w:rPr>
              <w:t>Вестник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Иркутского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госуда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ственного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технического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ситета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. – 2021. – 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. 25, № 1. – 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66-79.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Лукутин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Киушкина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В.Р. Влияние возобновляемой энергетики на энергетическую безопасность децентрализ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ванных систем электроснабж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ния // Журнал СФУ. Техника и техн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логии. – 2020. – Т.13. – № 5. С. 632-642.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2019 – 0.255.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Лукутин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Киушкина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В.Р. Характеристики энергет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ческой безопасности децентр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лизованного района и автоно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 объекта электрификации. // Вестник Иркутского госуда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ственного технического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ситета. 2020. Т. 24. № 5 (154). С. 768-780.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2019 – 0.299.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Лукутин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Б.В., Муравьев Д.И. Оптимизация состава и режимов работы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фото-дизельной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системы электр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снабжения постоянного тока. // Вестник Иркутского госуда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ственного технического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ситета. 2020. Т. 24. № 6 (155). С. 821-831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2019 – 0.299.</w:t>
            </w:r>
          </w:p>
        </w:tc>
        <w:tc>
          <w:tcPr>
            <w:tcW w:w="3301" w:type="dxa"/>
          </w:tcPr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B.V. et al. Photovoltaic power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plants with electrochemical and thermal energy storage in Iraq / Bulletin of the Tomsk Pol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technic University. Geo 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ssets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Engineering. 2021. V. 332. 1. 174 – 183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https://doi.org/10.18799/24131830/2021/1/3010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B.V.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Karrar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Hameed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Kadhim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. A Study on Solar Thermal Technologies and Re-sources with an Emphasis on Solar Power in Iraq / H. K.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Karrar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 V.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Journal of Green Engineering. – 2021. – Vol. 11,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iss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2. – [P. 1811-1875]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Muravyev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D.I. Prospects for decentralized dc systems with distributed solar generation. Bulletin of the Tomsk Pol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technic University, Geo Assets Engineering. – 2020. – Vol. 331, Issue 6. P. 184-196. – Cite Score 2019 – 1.0. WOS: 000545464800018.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10.18799/24131830/2020/6/2688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Kadhim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K.H.,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Jbarah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Karrar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O. Energy Systems Modelling and Si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ulation of Behavior for AGBWT in Isolated Ne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work using Simulink/MATLAB. Test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 and Management. – 2020. – Vol. 83, P. 15245-15249. – Cite Score 2019 – 0.1.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Kadhim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K.H.,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B. Mathematical modeling of solar heating system for an alum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num factory. Journal of Advanced Research in Dynamical and Control Systems. – 2019. – Vol. 11, № 11, – P. 198-205. Cite Score 2018 – 0.2.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10.5373/JARDCS/V11I11/20193188</w:t>
            </w:r>
          </w:p>
          <w:p w:rsidR="005442BF" w:rsidRPr="00CF5451" w:rsidRDefault="005442BF" w:rsidP="00ED72E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Dmitrienko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V.N.,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B.V. Method for estimating solar radiation energy for photovo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taic plants. Bulletin of the Tomsk Polytec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nic University, Geo Assets Engineering. – 2017. – Vol. 328, № 5, – P. 49-55.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Retrieved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from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www.scopus.com</w:t>
            </w:r>
          </w:p>
        </w:tc>
        <w:tc>
          <w:tcPr>
            <w:tcW w:w="3048" w:type="dxa"/>
          </w:tcPr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Muravyev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(2019).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Stand-alone power supply system with DC photo-diesel source. Paper presented at the E3S Web of Conferences. Vol. 114, 4 Se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tember 2019. Article number 05003. doi:10.1051/e3sconf/201911405003. 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Muravyev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minova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 S. (2019). Stand-alone power supply dc sys-tem with distributed photo-diesel source. Paper presented at the AIP Conference Proceedings. Vol. 2135, 9 August 2019. Article number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020040 doi:10.1063/1.5120677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Retrieved from www.scopus.com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Kiushkina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B. (2019). Energy security of northern and arctic is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lated territories. Paper presented at the E3S Web of Conferences. Vol. 77, 25 Ja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uary 2019. Article number 01008 7 doi:10.1051/e3sconf/20197701008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Kiushkina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 (2018). Intellectual energy security monitoring of decentralized systems of electricity with renewable energy sources. Paper presen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ed at the E3S Web of Conferences. Vol. 69, 27 November 2018. Article number 02002. doi:10.1051/e3sconf/20186902002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Orazbekova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 K. (2017). Technical and economic feasibility of thermal accumulation of energy at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tonomous photovoltaic power stations. Paper presented at the 2017 International Siberian Conference on Control and Co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munications, SIBCON 2017 – Proceedings 31 July 2017. Article number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7998489 doi:10.1109/SIBCON.2017.7998489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Muravyev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B. V. (2017). Mathematical model of the standalone electrical supply system with distributed photoelectric generation. Paper presented at the MATEC Web of Confe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ences. Vol., 19 June 2017. Article number 110. doi:10.1051/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matecconf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/201711001052 Retrieved from www.scopus.com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Lukutin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B. V.,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Shandarova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E. B.,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Matukhin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 L.,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Igisenov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Shand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S. M. (2017). Simulation and optimiz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wind and diesel power supply sy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tems. Paper presented at the IOP Confe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ence Series: Materials Science and Eng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neering. Vol. 177, Issue 1, 1 March 2017. Article number 012090. doi:10.1088/1757-899X/177/1/012090 Retrieved from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www.scopus.com</w:t>
            </w:r>
          </w:p>
        </w:tc>
      </w:tr>
      <w:tr w:rsidR="005442BF" w:rsidRPr="00CF5451" w:rsidTr="00DC7C70">
        <w:tc>
          <w:tcPr>
            <w:tcW w:w="432" w:type="dxa"/>
          </w:tcPr>
          <w:p w:rsidR="005442BF" w:rsidRPr="00CF5451" w:rsidRDefault="005442BF" w:rsidP="00795B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391" w:type="dxa"/>
          </w:tcPr>
          <w:p w:rsidR="005442BF" w:rsidRPr="00CF5451" w:rsidRDefault="005442BF" w:rsidP="00795BF4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val="en-US" w:eastAsia="en-US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Обухов Се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гей Геннадь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вич</w:t>
            </w:r>
          </w:p>
        </w:tc>
        <w:tc>
          <w:tcPr>
            <w:tcW w:w="1434" w:type="dxa"/>
          </w:tcPr>
          <w:p w:rsidR="005442BF" w:rsidRPr="00076CF9" w:rsidRDefault="005442BF" w:rsidP="00795BF4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GoBack"/>
            <w:r w:rsidRPr="00076CF9">
              <w:rPr>
                <w:rFonts w:ascii="Arial" w:hAnsi="Arial" w:cs="Arial"/>
                <w:sz w:val="16"/>
                <w:szCs w:val="16"/>
              </w:rPr>
              <w:t>штатный</w:t>
            </w:r>
            <w:bookmarkEnd w:id="0"/>
          </w:p>
        </w:tc>
        <w:tc>
          <w:tcPr>
            <w:tcW w:w="1151" w:type="dxa"/>
          </w:tcPr>
          <w:p w:rsidR="005442BF" w:rsidRPr="00CF5451" w:rsidRDefault="005442BF" w:rsidP="00814275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>Должность - профе</w:t>
            </w:r>
            <w:r w:rsidRPr="00CF5451">
              <w:rPr>
                <w:rFonts w:ascii="Arial" w:hAnsi="Arial" w:cs="Arial"/>
              </w:rPr>
              <w:t>с</w:t>
            </w:r>
            <w:r w:rsidRPr="00CF5451">
              <w:rPr>
                <w:rFonts w:ascii="Arial" w:hAnsi="Arial" w:cs="Arial"/>
              </w:rPr>
              <w:t>сор,</w:t>
            </w:r>
          </w:p>
          <w:p w:rsidR="005442BF" w:rsidRPr="00CF5451" w:rsidRDefault="005442BF" w:rsidP="00814275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д. т.н., </w:t>
            </w:r>
          </w:p>
          <w:p w:rsidR="005442BF" w:rsidRPr="00CF5451" w:rsidRDefault="005442BF" w:rsidP="005C7852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Ученое зв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ние доцент</w:t>
            </w:r>
          </w:p>
        </w:tc>
        <w:tc>
          <w:tcPr>
            <w:tcW w:w="1943" w:type="dxa"/>
          </w:tcPr>
          <w:p w:rsidR="005442BF" w:rsidRPr="00CF5451" w:rsidRDefault="005442BF" w:rsidP="0081427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5442BF" w:rsidRPr="00CF5451" w:rsidRDefault="005442BF" w:rsidP="0081427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3.3. Электротехника, электронная техника, информационные технологии:</w:t>
            </w:r>
          </w:p>
          <w:p w:rsidR="005442BF" w:rsidRPr="00CF5451" w:rsidRDefault="005442BF" w:rsidP="00795BF4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Разработка и исследование 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5442BF" w:rsidRPr="00CF5451" w:rsidRDefault="005442BF" w:rsidP="00814275">
            <w:pPr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Обухов С.Г., Давыдов Д.Ю. Сравнительный анализ методов оценки параметров распред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ления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Вейбулла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для повышения точности прогнозирования ве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>роэнергетического потенциала // Международный технико-экономический жу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нал. 2019. № 5. С. 7-15.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0,256.</w:t>
            </w:r>
          </w:p>
          <w:p w:rsidR="005442BF" w:rsidRPr="00CF5451" w:rsidRDefault="005442BF" w:rsidP="00814275">
            <w:pPr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Plotnikov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I.A. Choosing the parameters and analyzing the efficiency of solar tracking systems // Bulletin of the Tomsk Polytechnic University, Geo Assets Engineering. – 2018. – Vol.329, Issue 10. – P. 95-106. – Cite Score 2017 – 0.4.</w:t>
            </w:r>
            <w:r w:rsidRPr="00CF545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bCs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: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10.18799/24131830/2018/10/2109</w:t>
            </w:r>
          </w:p>
          <w:p w:rsidR="005442BF" w:rsidRPr="00CF5451" w:rsidRDefault="005442BF" w:rsidP="00814275">
            <w:pPr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Plotnikov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I.A. Simulation model of oper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autonomous photovoltaic plant under actual operating co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ditions // Bulletin of the Tomsk Polytec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nic University, Geo Assets Eng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neering. – 2017. – Vol. 328, Issue 6. – P. 38-51. Retrieved from </w:t>
            </w:r>
            <w:hyperlink r:id="rId8" w:tgtFrame="_blank" w:history="1">
              <w:r w:rsidRPr="00CF5451">
                <w:rPr>
                  <w:rStyle w:val="af2"/>
                  <w:rFonts w:ascii="Arial" w:hAnsi="Arial" w:cs="Arial"/>
                  <w:sz w:val="16"/>
                  <w:szCs w:val="16"/>
                  <w:lang w:val="en-US"/>
                </w:rPr>
                <w:t>www.scopus.com</w:t>
              </w:r>
            </w:hyperlink>
          </w:p>
          <w:p w:rsidR="005442BF" w:rsidRPr="00CF5451" w:rsidRDefault="005442BF" w:rsidP="00814275">
            <w:pPr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Обухов С.Г., Плотников И.А. Математическая модель прихода солнечной радиации на произвольно-ориентированную поверхность для любого реги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на России // Международный научный журнал Альтернати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ная энергетика и экология. – 2017. – № 16-18 (228-230). – С. 43-56.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нет.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Сурков М.А., Обухов С.Г., Пло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ников И.А., Сумарокова Л.П., Попов М.М.,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Байдали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С.А. Оценка целесообразности пр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менения фотоэлектрических установок для электроснабж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ния удаленных потребителей в климатических условиях севера Российской Федерации // И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тернет-журнал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Науковедение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. – 2016. – Т. 8. № 4 (35). – С. 88.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– нет</w:t>
            </w:r>
          </w:p>
        </w:tc>
        <w:tc>
          <w:tcPr>
            <w:tcW w:w="3301" w:type="dxa"/>
          </w:tcPr>
          <w:p w:rsidR="005442BF" w:rsidRPr="00CF5451" w:rsidRDefault="005442BF" w:rsidP="008142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Plotnikov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I.A.,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Masolov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V.G. Dual energy storage for h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brid energy systems with renewable energy sources // Bulletin of the Tomsk Polytechnic University, Geo Assets Engineering. – 2020. – Vol. 331, Is-sue 1. – P. 64-76. – Cite Score 2019 – 1.0. doi:10.18799/24131830/2020/1/2448</w:t>
            </w:r>
          </w:p>
          <w:p w:rsidR="005442BF" w:rsidRPr="00CF5451" w:rsidRDefault="005442BF" w:rsidP="008142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Zaki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Diab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A.A., Al-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Sumaiti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R. Optimal Pe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formance of Dynamic Particle Swarm Optimiz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Based Maximum Power Trackers for Stand-Alone PV System under Partial Shading Conditions //  IEEE Access. – 2020. – Vol. 8, Article 8957566. – P. 20770-20785. Cite Score 2019 – 3.9. doi:10.1109/ACCESS.2020.2966430</w:t>
            </w:r>
          </w:p>
          <w:p w:rsidR="005442BF" w:rsidRPr="00CF5451" w:rsidRDefault="005442BF" w:rsidP="008142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S., 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Tolba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M.A., El-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Rifaie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A.M. Power balance management of an autonomous hybrid energy system based on the dual-energy storage // Energies. – 2019. – Vol. 12, Issue 24, Article 4690. Cite Score 2018 – 3.3. doi:10.3390/en12244690</w:t>
            </w:r>
          </w:p>
          <w:p w:rsidR="005442BF" w:rsidRPr="00CF5451" w:rsidRDefault="005442BF" w:rsidP="008142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S. Improved particle swarm optimization for glo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al maximum power point tracking of partially shaded PV array // Electrical Engineering – 2019. Vol. 101, Issue 2. P. 443-455. – Cite Score 2018 – 1.6. doi:10.1007/s00202-019-00794-w</w:t>
            </w:r>
          </w:p>
          <w:p w:rsidR="005442BF" w:rsidRPr="00CF5451" w:rsidRDefault="005442BF" w:rsidP="008142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Ibrahim,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R.,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S. Maximum power point tracking of partially shading PV system using cuckoo search alg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rithm // International Journal of Power Electro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ics and Drive Systems. – 2019. – Vol.10, Issue 2. – P. 1081-1089. – Cite Score 2018 – 1.9. doi:10.11591/ijpeds.v10.i2.pp1081-1089</w:t>
            </w:r>
          </w:p>
          <w:p w:rsidR="005442BF" w:rsidRPr="00CF5451" w:rsidRDefault="005442BF" w:rsidP="00795BF4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Ahmed Ibrahim,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R. Determination of global maximum power point tracking of PV under partial shading using cuckoo search algorithm. // Applied Solar 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ergy (English Translation of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Geliotekhnika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). – 2019. Vol. 55, Issue 6. – P. 367-375. – Cite Score 2018 – 1.1. doi:10.3103/S0003701X19060045</w:t>
            </w:r>
          </w:p>
        </w:tc>
        <w:tc>
          <w:tcPr>
            <w:tcW w:w="3048" w:type="dxa"/>
          </w:tcPr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Ibrahim Ahmed, Ibrahim Mohamed. Comprehensive Analysis of PSO and P&amp;O for the Global Maximum Power Point Tracking of the PV under Partial Shading [Electronic resource] / I. M. Ibrahim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med, S. S. A.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Raef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Radio Electronics, Electrical and Power Engineering (REEPE): 1st IEEE 2019 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ternational Youth Conference, Russia, Moscow, March 14-15, 2019. – New York: IEEE, 2019. – [6 p.].</w:t>
            </w:r>
          </w:p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Ibrahim Ahmed, Ibrahim Mohamed. Application of Cuckoo Search Algorithm for Global Maximum Power Point Tracking of PV under Partial Shading [Electronic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source] / I. M. Ibrahim Ahmed, S. S. A.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Raef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Radio Electronics, Electrical and Power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 (REEPE) : 1st IEEE 2019 International Youth Conference, Russia, Moscow, March 14-15, 2019. – New York: IEEE, 2019. – [6 p.].</w:t>
            </w:r>
          </w:p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Обухов, Сергей Геннадьевич. Определение точки максимальной мо</w:t>
            </w:r>
            <w:r w:rsidRPr="00CF5451">
              <w:rPr>
                <w:rFonts w:ascii="Arial" w:hAnsi="Arial" w:cs="Arial"/>
                <w:sz w:val="16"/>
                <w:szCs w:val="16"/>
              </w:rPr>
              <w:t>щ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ности солнечной батареи алгоритмом роя частиц [Электронный ресурс] / С. Г. Обухов, И. А. Ибрагим //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Энерго-ресурсоэффективность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 интересах устойчивого развития: сборник научных трудов международной научной конф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ренции, г. Томск, 12–16 ноября 2018 г. / Национальный исследовательский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университет (ТПУ). – Томск: Изд-во ТПУ, 2018. – [С. 110-111].</w:t>
            </w:r>
          </w:p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Sergey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Gennadievich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Determination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maximum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power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point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solar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cell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by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particle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swarm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algorithm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Electronic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resource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] /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A.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Ibrahim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//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Энерго-ресурсоэффективность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 интересах устойчивого развития: сборник научных трудов международной научной конф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ренции, г. Томск, 12–16 ноября 2018 г. / Национальный исследовательский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политехнический университет (ТПУ). – Томск: Изд-во ТПУ, 2018. – [С. 111-112].</w:t>
            </w:r>
          </w:p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Sergey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Gennadievich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Method for selecting parameters and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sessing efficiency of wind-diesel power plants for autonomous electrical supply systems [Electronic resource] /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A.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Plotnikov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Masolov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IOP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Conference Series: Materials Science and Engineering. – 2018. – Vol. 289: Modern Technologies for Non-Destructive Testing. – [012026, 6 p.].</w:t>
            </w:r>
          </w:p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Sergey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Gennadievich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. Mathematical model of solar radiation based on climatological data from NASA SSE [Electronic resource] /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 A.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Plotnikov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Masolov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IOP Co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ference Series: Materials Science and Eng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neering. – 2018. – Vol. 363: Cognitive Robotics. – [012021, 6 p.].</w:t>
            </w:r>
          </w:p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Sergey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Gennadievich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. Ma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imum Power Point Tracking OF Pa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tially Shading PV system Using Particle Swarm Optimization [Electronic resource] /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A. I. M. Ibrahim, R. S. S. A.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Aboelsaud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// ACM International Confe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ence Proceeding Series. – 2018. – 4th Inte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national Conference on Frontiers of Educ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tional Technologies (ICFET 2018). – Proceedings, Moscow, Russian Feder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tion, June 25-27, 2018 [P. 161-165].</w:t>
            </w:r>
          </w:p>
          <w:p w:rsidR="005442BF" w:rsidRPr="00CF5451" w:rsidRDefault="005442BF" w:rsidP="00814275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Development of The Structural and Functional Design of the Laboratory Bench for Experimental Research Diesel Gener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tor Sets on Variable Speed [Electronic resource] /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 // MATEC Web of Conferences.  – 2017. – Vol. 91: Smart Grids 2017. – [01036, 4 p.].</w:t>
            </w:r>
          </w:p>
          <w:p w:rsidR="005442BF" w:rsidRPr="00CF5451" w:rsidRDefault="005442BF" w:rsidP="00217729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The experimental studies of operating modes of a diesel-generator set at variable speed [Electronic resource] /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 // IOP Conference Series: Materials Science and Engineering. – 2017.  – Vol. 177: Mechanical Engineering,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tomation and Control Systems (MEACS 2016). – [012143, 6 p.]</w:t>
            </w:r>
          </w:p>
          <w:p w:rsidR="005442BF" w:rsidRPr="00CF5451" w:rsidRDefault="005442BF" w:rsidP="00F970A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Method for Prediction of the Power Output from Photovoltaic Power Plant under Act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al Operating Conditions [Electronic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source] / S. G.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Obukhov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 // IOP Co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ference Series: Materials Science and Engineering. – 2017. – Vol. 189: Mo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ern Technologies for Non-Destructive Testing. – [012008, 6 p.]</w:t>
            </w:r>
          </w:p>
        </w:tc>
      </w:tr>
      <w:tr w:rsidR="005442BF" w:rsidRPr="00CF5451" w:rsidTr="00DC7C70">
        <w:tc>
          <w:tcPr>
            <w:tcW w:w="432" w:type="dxa"/>
          </w:tcPr>
          <w:p w:rsidR="005442BF" w:rsidRPr="00CF5451" w:rsidRDefault="005442BF" w:rsidP="0081427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391" w:type="dxa"/>
          </w:tcPr>
          <w:p w:rsidR="005442BF" w:rsidRPr="00CF5451" w:rsidRDefault="005442BF" w:rsidP="00814275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Однокопылов Георгий Ив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нович</w:t>
            </w:r>
          </w:p>
        </w:tc>
        <w:tc>
          <w:tcPr>
            <w:tcW w:w="1434" w:type="dxa"/>
          </w:tcPr>
          <w:p w:rsidR="005442BF" w:rsidRPr="00CF5451" w:rsidRDefault="005442BF" w:rsidP="00814275">
            <w:pPr>
              <w:pStyle w:val="ae"/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CF5451">
              <w:rPr>
                <w:rFonts w:ascii="Arial" w:hAnsi="Arial" w:cs="Arial"/>
              </w:rPr>
              <w:t>штатный</w:t>
            </w:r>
          </w:p>
        </w:tc>
        <w:tc>
          <w:tcPr>
            <w:tcW w:w="1151" w:type="dxa"/>
          </w:tcPr>
          <w:p w:rsidR="005442BF" w:rsidRPr="00CF5451" w:rsidRDefault="005442BF" w:rsidP="00893F9E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>Должность - профе</w:t>
            </w:r>
            <w:r w:rsidRPr="00CF5451">
              <w:rPr>
                <w:rFonts w:ascii="Arial" w:hAnsi="Arial" w:cs="Arial"/>
              </w:rPr>
              <w:t>с</w:t>
            </w:r>
            <w:r w:rsidRPr="00CF5451">
              <w:rPr>
                <w:rFonts w:ascii="Arial" w:hAnsi="Arial" w:cs="Arial"/>
              </w:rPr>
              <w:t>сор,</w:t>
            </w:r>
          </w:p>
          <w:p w:rsidR="005442BF" w:rsidRPr="00CF5451" w:rsidRDefault="005442BF" w:rsidP="00893F9E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д. т.н., </w:t>
            </w:r>
          </w:p>
          <w:p w:rsidR="005442BF" w:rsidRPr="00CF5451" w:rsidRDefault="005442BF" w:rsidP="00814275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Ученое зв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ние доцент</w:t>
            </w:r>
          </w:p>
        </w:tc>
        <w:tc>
          <w:tcPr>
            <w:tcW w:w="1943" w:type="dxa"/>
          </w:tcPr>
          <w:p w:rsidR="005442BF" w:rsidRPr="00CF5451" w:rsidRDefault="005442BF" w:rsidP="00893F9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5442BF" w:rsidRPr="00CF5451" w:rsidRDefault="005442BF" w:rsidP="00893F9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 xml:space="preserve">3.3. Электротехника, электронная техника, информационные </w:t>
            </w:r>
            <w:r w:rsidRPr="00CF5451">
              <w:rPr>
                <w:rFonts w:ascii="Arial" w:hAnsi="Arial" w:cs="Arial"/>
                <w:b/>
                <w:sz w:val="16"/>
                <w:szCs w:val="16"/>
              </w:rPr>
              <w:lastRenderedPageBreak/>
              <w:t>технологии:</w:t>
            </w:r>
          </w:p>
          <w:p w:rsidR="005442BF" w:rsidRPr="00CF5451" w:rsidRDefault="005442BF" w:rsidP="00814275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Разработка и исследование 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Однокопылов Г.И.,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Розаев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И.А. Алгоритмы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бездатчиков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го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отказоустойчивого управл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ния вентильно-индукторным эле</w:t>
            </w:r>
            <w:r w:rsidRPr="00CF5451">
              <w:rPr>
                <w:rFonts w:ascii="Arial" w:hAnsi="Arial" w:cs="Arial"/>
                <w:sz w:val="16"/>
                <w:szCs w:val="16"/>
              </w:rPr>
              <w:t>к</w:t>
            </w:r>
            <w:r w:rsidRPr="00CF5451">
              <w:rPr>
                <w:rFonts w:ascii="Arial" w:hAnsi="Arial" w:cs="Arial"/>
                <w:sz w:val="16"/>
                <w:szCs w:val="16"/>
              </w:rPr>
              <w:t>тродвигателем насоса для д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бычи нефти // Известия Томск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го политехнического универс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тета. Инжиниринг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геор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сурсов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. – 2020. Т. 331. № 5. С. 208-218. 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 xml:space="preserve">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0,459.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Прохоров С.В.,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Нгуен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В.В., Шилин А.А., Однокоп</w:t>
            </w:r>
            <w:r w:rsidRPr="00CF5451">
              <w:rPr>
                <w:rFonts w:ascii="Arial" w:hAnsi="Arial" w:cs="Arial"/>
                <w:sz w:val="16"/>
                <w:szCs w:val="16"/>
              </w:rPr>
              <w:t>ы</w:t>
            </w:r>
            <w:r w:rsidRPr="00CF5451">
              <w:rPr>
                <w:rFonts w:ascii="Arial" w:hAnsi="Arial" w:cs="Arial"/>
                <w:sz w:val="16"/>
                <w:szCs w:val="16"/>
              </w:rPr>
              <w:t>лов Г.И., Шевчук В.А. Методика пост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новки эксперимента в среде CODESYS на примере системы управления вентиляцией // Д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клады Томского государстве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 университета систем управления и радиоэлектрон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ки. – 2019. Т. 22. № 4. С. 109-115. 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0.4.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Однокопылов Г.И.,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Шевчук В.А., Шилин А.А. Исследование эксплуатацио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ной надёжности электр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ческих машин переменного тока в го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норудной промы</w:t>
            </w:r>
            <w:r w:rsidRPr="00CF5451">
              <w:rPr>
                <w:rFonts w:ascii="Arial" w:hAnsi="Arial" w:cs="Arial"/>
                <w:sz w:val="16"/>
                <w:szCs w:val="16"/>
              </w:rPr>
              <w:t>ш</w:t>
            </w:r>
            <w:r w:rsidRPr="00CF5451">
              <w:rPr>
                <w:rFonts w:ascii="Arial" w:hAnsi="Arial" w:cs="Arial"/>
                <w:sz w:val="16"/>
                <w:szCs w:val="16"/>
              </w:rPr>
              <w:t>ленности // Доклады Томского госуда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ственного университета систем управления и радиоэлектрон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ки. – 2019. – Т. 22. № 3. – С. 125-131. 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0.4.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Кумпяк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О.Г.,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Галяутдинов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З.Р., Однокопылов Г.И.,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Пахм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>рин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О.Р. Особенности диагн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стики нагруженных фундаме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тов электроприводов газоко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прессорной станции без ост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новки технологических проце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сов // Вестник Томского гос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дарственного архитектурно-строительного университета. – 2017. – № 1 (60). – С. 114-121. 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2016 – нет.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Однокопылов Г.И., Деме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тьев Ю.Н.,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Розаев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И.А.,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Сенькив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Е.П. Гибридное тран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портное средство с асинхронным двиг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телем // Патент на изобретение RU 2657702 C1.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Опубл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. 14.06.2018. Заявка № 2017105667 от 20.02.2017.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6.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Однокопылов Г.И., Деме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тьев Ю.Н.,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Розаев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И.А.,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Сенькив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Е.П. Гибридное тран</w:t>
            </w:r>
            <w:r w:rsidRPr="00CF5451">
              <w:rPr>
                <w:rFonts w:ascii="Arial" w:hAnsi="Arial" w:cs="Arial"/>
                <w:sz w:val="16"/>
                <w:szCs w:val="16"/>
              </w:rPr>
              <w:t>с</w:t>
            </w:r>
            <w:r w:rsidRPr="00CF5451">
              <w:rPr>
                <w:rFonts w:ascii="Arial" w:hAnsi="Arial" w:cs="Arial"/>
                <w:sz w:val="16"/>
                <w:szCs w:val="16"/>
              </w:rPr>
              <w:t>портное средство с вентильным двиг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телем // Патент на изобр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тение RU 2657707 C1.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Опубл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. 14.06.2018. Заявка № 2017105664 от 20.02.2017.</w:t>
            </w:r>
          </w:p>
          <w:p w:rsidR="005442BF" w:rsidRPr="00CF5451" w:rsidRDefault="005442BF" w:rsidP="00814275">
            <w:pPr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7.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>Однокопылов Г.И., Д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ментьев Ю.Н.,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Сенькив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Е.П. Гибридное транспортное сре</w:t>
            </w:r>
            <w:r w:rsidRPr="00CF5451">
              <w:rPr>
                <w:rFonts w:ascii="Arial" w:hAnsi="Arial" w:cs="Arial"/>
                <w:sz w:val="16"/>
                <w:szCs w:val="16"/>
              </w:rPr>
              <w:t>д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ство с асинхронным двигателем // Патент на изобретение RU 2638219 C1.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Опубл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. 12.12.2017. Заявка № 2016132914 от 09.08.2016.</w:t>
            </w:r>
          </w:p>
        </w:tc>
        <w:tc>
          <w:tcPr>
            <w:tcW w:w="3301" w:type="dxa"/>
          </w:tcPr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Rozaev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I.A. Research of fault-tolerant switched-reluctance motor of electrical oil pump // Bulletin of the Tomsk Poly-technic University, Geo Assets Engineering. – 2019. – Vol. 330, Issue 10. P. 69-81. – Cite Score 2018 – 0.7.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10.18799/24131830/2019/10/2299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Shevchuk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V.A.,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mentyev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Y.N. Application of system anal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sis 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for providing reliability of electrical m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chines in diamond industry [</w:t>
            </w:r>
            <w:r w:rsidRPr="00CF5451">
              <w:rPr>
                <w:rFonts w:ascii="Arial" w:hAnsi="Arial" w:cs="Arial"/>
                <w:sz w:val="16"/>
                <w:szCs w:val="16"/>
              </w:rPr>
              <w:t>ПРИМЕНЕНИЕ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C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</w:rPr>
              <w:t>ТЕ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A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>ЛИЗ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A </w:t>
            </w:r>
            <w:r w:rsidRPr="00CF5451">
              <w:rPr>
                <w:rFonts w:ascii="Arial" w:hAnsi="Arial" w:cs="Arial"/>
                <w:sz w:val="16"/>
                <w:szCs w:val="16"/>
              </w:rPr>
              <w:t>ДЛЯ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ОБЕ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</w:rPr>
              <w:t>ПЕЧЕНИЯ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ЭК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</w:rPr>
              <w:t>ПЛУ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>ЦИОННОЙ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>ДЁЖНО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</w:rPr>
              <w:t>ТИ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ЭЛЕКТРИЧЕ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</w:rPr>
              <w:t>КИХ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>ШИН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A</w:t>
            </w:r>
            <w:r w:rsidRPr="00CF5451">
              <w:rPr>
                <w:rFonts w:ascii="Arial" w:hAnsi="Arial" w:cs="Arial"/>
                <w:sz w:val="16"/>
                <w:szCs w:val="16"/>
              </w:rPr>
              <w:t>ЛМ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>ЗОД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БЫВ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</w:rPr>
              <w:t>ЮЩЕЙ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ПРОМЫШЛЕННО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CF5451">
              <w:rPr>
                <w:rFonts w:ascii="Arial" w:hAnsi="Arial" w:cs="Arial"/>
                <w:sz w:val="16"/>
                <w:szCs w:val="16"/>
              </w:rPr>
              <w:t>ТИ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tin of the Tomsk Polytechnic University, Geo Assets Engineering. – 2019. – Vol. 330, Issue 5. P. 131-140. – Cite Score 2018 – 0.7.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10.18799/24131830/2019/5/271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Kumpyak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O.G.,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yautdinov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Z.R.,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Galyautdinov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D.R. Determin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vitality parameters of protected critical engineering structures under shock-wave loa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 [</w:t>
            </w:r>
            <w:r w:rsidRPr="00CF5451">
              <w:rPr>
                <w:rFonts w:ascii="Arial" w:hAnsi="Arial" w:cs="Arial"/>
                <w:sz w:val="16"/>
                <w:szCs w:val="16"/>
              </w:rPr>
              <w:t>ОПРЕДЕЛЕНИЕ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ПАРАМЕТРОВ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ЖИВ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>ЧЕСТИ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ЗАЩИЩЕННЫХ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Т</w:t>
            </w:r>
            <w:r w:rsidRPr="00CF5451">
              <w:rPr>
                <w:rFonts w:ascii="Arial" w:hAnsi="Arial" w:cs="Arial"/>
                <w:sz w:val="16"/>
                <w:szCs w:val="16"/>
              </w:rPr>
              <w:t>ВЕТСТВЕННЫХ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СТРОИТЕЛЬНЫХ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КО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СТРУК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CF5451">
              <w:rPr>
                <w:rFonts w:ascii="Arial" w:hAnsi="Arial" w:cs="Arial"/>
                <w:sz w:val="16"/>
                <w:szCs w:val="16"/>
              </w:rPr>
              <w:t>ЦИЙ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ПРИ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УДАРНО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CF5451">
              <w:rPr>
                <w:rFonts w:ascii="Arial" w:hAnsi="Arial" w:cs="Arial"/>
                <w:sz w:val="16"/>
                <w:szCs w:val="16"/>
              </w:rPr>
              <w:t>ВОЛНОВОМ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НАГРУЖЕНИИ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Polytechnic University, Geo Assets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ing. – 2019. – Vol. 330, Issue 4. P. 110-125. – Cite Score 2018 – 0.7.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10.18799/24131830/2019/4/231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Sarkisov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D.Y.,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tuzov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E.A. Evaluation of survivability degree of responsible building structures under shock wave loading [</w:t>
            </w:r>
            <w:r w:rsidRPr="00CF5451">
              <w:rPr>
                <w:rFonts w:ascii="Arial" w:hAnsi="Arial" w:cs="Arial"/>
                <w:sz w:val="16"/>
                <w:szCs w:val="16"/>
              </w:rPr>
              <w:t>Оценка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степени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живучести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ответственных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строительных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конструкций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при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F5451">
              <w:rPr>
                <w:rFonts w:ascii="Arial" w:hAnsi="Arial" w:cs="Arial"/>
                <w:sz w:val="16"/>
                <w:szCs w:val="16"/>
              </w:rPr>
              <w:t>ударно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CF5451">
              <w:rPr>
                <w:rFonts w:ascii="Arial" w:hAnsi="Arial" w:cs="Arial"/>
                <w:sz w:val="16"/>
                <w:szCs w:val="16"/>
              </w:rPr>
              <w:t>волновом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нагружении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] // Bulletin of the Tomsk Polytechnic University, Geo 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sets Engineering. – 2018. Vol. 329, Issue 12. P. 122-135. – Cite Score 2017 – 0.4.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: 10.18799/24131830/2018/12/28</w:t>
            </w:r>
          </w:p>
          <w:p w:rsidR="005442BF" w:rsidRPr="00CF5451" w:rsidRDefault="005442BF" w:rsidP="008142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Sarkisov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D.Y. Evalu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tion of breaking load parameters under shock wave loading for critical constructions of oil and gas sector facilities // Bulletin of the Tomsk Polytechnic University, Geo Assets Enginee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ing. – 2017. – Vol. 328, Issue 3, P. 85-95.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</w:tc>
        <w:tc>
          <w:tcPr>
            <w:tcW w:w="3048" w:type="dxa"/>
          </w:tcPr>
          <w:p w:rsidR="005442BF" w:rsidRPr="00CF5451" w:rsidRDefault="005442BF" w:rsidP="00217729">
            <w:pPr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Odnokopylov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, G. I.,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Rozayev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, I. A. (2017). Fault-tolerant control algorithms of switched-reluctance motor drive in open-phase modes. Paper presented at the Pr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ceedings – 2016 11th International Forum on Strategic Technology, IFOST 2016, 140-144. doi:10.1109/IFOST.2016.7884212 R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trieved from www.scopus.com</w:t>
            </w:r>
          </w:p>
        </w:tc>
      </w:tr>
      <w:tr w:rsidR="005442BF" w:rsidRPr="00CF5451" w:rsidTr="00DC7C70">
        <w:tc>
          <w:tcPr>
            <w:tcW w:w="432" w:type="dxa"/>
          </w:tcPr>
          <w:p w:rsidR="005442BF" w:rsidRPr="00CF5451" w:rsidRDefault="005442BF" w:rsidP="00893F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391" w:type="dxa"/>
          </w:tcPr>
          <w:p w:rsidR="005442BF" w:rsidRPr="00CF5451" w:rsidRDefault="005442BF" w:rsidP="00893F9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Шилин Але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к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сандр Анат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ль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eastAsia="Times New Roman" w:hAnsi="Arial" w:cs="Arial"/>
                <w:sz w:val="16"/>
                <w:szCs w:val="16"/>
              </w:rPr>
              <w:t>вич</w:t>
            </w:r>
          </w:p>
        </w:tc>
        <w:tc>
          <w:tcPr>
            <w:tcW w:w="1434" w:type="dxa"/>
          </w:tcPr>
          <w:p w:rsidR="005442BF" w:rsidRPr="00CF5451" w:rsidRDefault="005442BF" w:rsidP="00893F9E">
            <w:pPr>
              <w:pStyle w:val="ae"/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CF5451">
              <w:rPr>
                <w:rFonts w:ascii="Arial" w:hAnsi="Arial" w:cs="Arial"/>
              </w:rPr>
              <w:t>штатный</w:t>
            </w:r>
          </w:p>
        </w:tc>
        <w:tc>
          <w:tcPr>
            <w:tcW w:w="1151" w:type="dxa"/>
          </w:tcPr>
          <w:p w:rsidR="005442BF" w:rsidRPr="00CF5451" w:rsidRDefault="005442BF" w:rsidP="00893F9E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>Должность - профе</w:t>
            </w:r>
            <w:r w:rsidRPr="00CF5451">
              <w:rPr>
                <w:rFonts w:ascii="Arial" w:hAnsi="Arial" w:cs="Arial"/>
              </w:rPr>
              <w:t>с</w:t>
            </w:r>
            <w:r w:rsidRPr="00CF5451">
              <w:rPr>
                <w:rFonts w:ascii="Arial" w:hAnsi="Arial" w:cs="Arial"/>
              </w:rPr>
              <w:t>сор,</w:t>
            </w:r>
          </w:p>
          <w:p w:rsidR="005442BF" w:rsidRPr="00CF5451" w:rsidRDefault="005442BF" w:rsidP="00893F9E">
            <w:pPr>
              <w:pStyle w:val="2"/>
              <w:spacing w:line="240" w:lineRule="auto"/>
              <w:rPr>
                <w:rFonts w:ascii="Arial" w:hAnsi="Arial" w:cs="Arial"/>
              </w:rPr>
            </w:pPr>
            <w:r w:rsidRPr="00CF5451">
              <w:rPr>
                <w:rFonts w:ascii="Arial" w:hAnsi="Arial" w:cs="Arial"/>
              </w:rPr>
              <w:t xml:space="preserve">д. т.н., </w:t>
            </w:r>
          </w:p>
          <w:p w:rsidR="005442BF" w:rsidRPr="00CF5451" w:rsidRDefault="005442BF" w:rsidP="00893F9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Ученое зв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ние доцент</w:t>
            </w:r>
          </w:p>
        </w:tc>
        <w:tc>
          <w:tcPr>
            <w:tcW w:w="1943" w:type="dxa"/>
          </w:tcPr>
          <w:p w:rsidR="005442BF" w:rsidRPr="00CF5451" w:rsidRDefault="005442BF" w:rsidP="00893F9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5442BF" w:rsidRPr="00CF5451" w:rsidRDefault="005442BF" w:rsidP="00893F9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b/>
                <w:sz w:val="16"/>
                <w:szCs w:val="16"/>
              </w:rPr>
              <w:t>3.3. Электротехника, электронная техника, информационные технологии:</w:t>
            </w:r>
          </w:p>
          <w:p w:rsidR="005442BF" w:rsidRPr="00CF5451" w:rsidRDefault="005442BF" w:rsidP="00893F9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Разработка и исследование электромеханических и электротехнических систем промышленного и специального назначений на основе современных средств силовой электроники, электрических машин и микропроцессорной техники. (Приказ № 83-34 от 23.03.2020)</w:t>
            </w:r>
          </w:p>
        </w:tc>
        <w:tc>
          <w:tcPr>
            <w:tcW w:w="2434" w:type="dxa"/>
          </w:tcPr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1.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Нгуен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Ван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Выонг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, А. А. Шилин, В. Г.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[и др.] Определение параметров ПИ-регулятора системы управления сложным технологическим об</w:t>
            </w:r>
            <w:r w:rsidRPr="00CF5451">
              <w:rPr>
                <w:rFonts w:ascii="Arial" w:hAnsi="Arial" w:cs="Arial"/>
                <w:sz w:val="16"/>
                <w:szCs w:val="16"/>
              </w:rPr>
              <w:t>ъ</w:t>
            </w:r>
            <w:r w:rsidRPr="00CF5451">
              <w:rPr>
                <w:rFonts w:ascii="Arial" w:hAnsi="Arial" w:cs="Arial"/>
                <w:sz w:val="16"/>
                <w:szCs w:val="16"/>
              </w:rPr>
              <w:t>ектом в режиме реального вр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мени =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Synthesis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regulators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drying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plant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control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system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based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statistical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data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// Докл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ды Томского государственного университета систем управл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ния и радиоэлектроники / То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ский государственный униве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ситет систем управления и р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диоэлектроники (ТУСУР). – 2021.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 xml:space="preserve"> – Т. 24, № 2. – С. 56-63.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2.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Шилин А.А., Прохоров С.В.,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 В.Г.,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Нгуен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В.В. Стаб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лизация температуры в рекуп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раторе вентиляционной уст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новки с использованием рег</w:t>
            </w:r>
            <w:r w:rsidRPr="00CF5451">
              <w:rPr>
                <w:rFonts w:ascii="Arial" w:hAnsi="Arial" w:cs="Arial"/>
                <w:sz w:val="16"/>
                <w:szCs w:val="16"/>
              </w:rPr>
              <w:t>у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лируемого </w:t>
            </w:r>
            <w:proofErr w:type="gramStart"/>
            <w:r w:rsidRPr="00CF5451">
              <w:rPr>
                <w:rFonts w:ascii="Arial" w:hAnsi="Arial" w:cs="Arial"/>
                <w:sz w:val="16"/>
                <w:szCs w:val="16"/>
              </w:rPr>
              <w:t>электропривода насоса промежуточного тепл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носителя // Известия высших учебных заведений</w:t>
            </w:r>
            <w:proofErr w:type="gramEnd"/>
            <w:r w:rsidRPr="00CF5451">
              <w:rPr>
                <w:rFonts w:ascii="Arial" w:hAnsi="Arial" w:cs="Arial"/>
                <w:sz w:val="16"/>
                <w:szCs w:val="16"/>
              </w:rPr>
              <w:t>. Электром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ханика. 2020. Т. 63. № 2-3. С. 24-29.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0.301.</w:t>
            </w:r>
          </w:p>
          <w:p w:rsidR="005442BF" w:rsidRPr="00CF5451" w:rsidRDefault="005442BF" w:rsidP="008753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>3.</w:t>
            </w:r>
            <w:r w:rsidRPr="00CF5451">
              <w:rPr>
                <w:rFonts w:ascii="Arial" w:hAnsi="Arial" w:cs="Arial"/>
                <w:sz w:val="16"/>
                <w:szCs w:val="16"/>
              </w:rPr>
              <w:tab/>
              <w:t xml:space="preserve">Шилин А.А.,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Букреев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Михайлёв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А.С. Модернизация электропривода нагнетательн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го вентилятора отопительного котла для жилищно-коммунального хозяйства. // Известия высших учебных з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ведений. Электромеханика. 2020. Т. 63. № 4. С. 30-37.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м</w:t>
            </w:r>
            <w:r w:rsidRPr="00CF5451">
              <w:rPr>
                <w:rFonts w:ascii="Arial" w:hAnsi="Arial" w:cs="Arial"/>
                <w:sz w:val="16"/>
                <w:szCs w:val="16"/>
              </w:rPr>
              <w:t>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0.301.</w:t>
            </w:r>
          </w:p>
          <w:p w:rsidR="005442BF" w:rsidRPr="00CF5451" w:rsidRDefault="005442BF" w:rsidP="008753B2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 xml:space="preserve">4.     Прохоров С.В.,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Нгуен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 В.В., Шилин А.А., Однокопылов Г.И., Шевчук В.А. Методика пост</w:t>
            </w:r>
            <w:r w:rsidRPr="00CF5451">
              <w:rPr>
                <w:rFonts w:ascii="Arial" w:hAnsi="Arial" w:cs="Arial"/>
                <w:sz w:val="16"/>
                <w:szCs w:val="16"/>
              </w:rPr>
              <w:t>а</w:t>
            </w:r>
            <w:r w:rsidRPr="00CF5451">
              <w:rPr>
                <w:rFonts w:ascii="Arial" w:hAnsi="Arial" w:cs="Arial"/>
                <w:sz w:val="16"/>
                <w:szCs w:val="16"/>
              </w:rPr>
              <w:t>новки эксперимента в среде CODESYS на примере системы управления вентиляцией // Д</w:t>
            </w:r>
            <w:r w:rsidRPr="00CF5451">
              <w:rPr>
                <w:rFonts w:ascii="Arial" w:hAnsi="Arial" w:cs="Arial"/>
                <w:sz w:val="16"/>
                <w:szCs w:val="16"/>
              </w:rPr>
              <w:t>о</w:t>
            </w:r>
            <w:r w:rsidRPr="00CF5451">
              <w:rPr>
                <w:rFonts w:ascii="Arial" w:hAnsi="Arial" w:cs="Arial"/>
                <w:sz w:val="16"/>
                <w:szCs w:val="16"/>
              </w:rPr>
              <w:t>клады Томского государстве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ного университета систем управления и радиоэлектрон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 xml:space="preserve">ки. – 2019. Т. 22. № 4. С. 109-115. 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0.4.</w:t>
            </w:r>
          </w:p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t xml:space="preserve">5.     Однокопылов Г.И.,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Букр</w:t>
            </w:r>
            <w:r w:rsidRPr="00CF5451">
              <w:rPr>
                <w:rFonts w:ascii="Arial" w:hAnsi="Arial" w:cs="Arial"/>
                <w:sz w:val="16"/>
                <w:szCs w:val="16"/>
              </w:rPr>
              <w:t>е</w:t>
            </w:r>
            <w:r w:rsidRPr="00CF5451">
              <w:rPr>
                <w:rFonts w:ascii="Arial" w:hAnsi="Arial" w:cs="Arial"/>
                <w:sz w:val="16"/>
                <w:szCs w:val="16"/>
              </w:rPr>
              <w:t>ев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 xml:space="preserve"> В.Г., Шевчук В.А., Шилин А.А. Исследование эксплуатацио</w:t>
            </w:r>
            <w:r w:rsidRPr="00CF5451">
              <w:rPr>
                <w:rFonts w:ascii="Arial" w:hAnsi="Arial" w:cs="Arial"/>
                <w:sz w:val="16"/>
                <w:szCs w:val="16"/>
              </w:rPr>
              <w:t>н</w:t>
            </w:r>
            <w:r w:rsidRPr="00CF5451">
              <w:rPr>
                <w:rFonts w:ascii="Arial" w:hAnsi="Arial" w:cs="Arial"/>
                <w:sz w:val="16"/>
                <w:szCs w:val="16"/>
              </w:rPr>
              <w:t>ной надёжности электр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>ческих машин переменного тока в го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норудной промы</w:t>
            </w:r>
            <w:r w:rsidRPr="00CF5451">
              <w:rPr>
                <w:rFonts w:ascii="Arial" w:hAnsi="Arial" w:cs="Arial"/>
                <w:sz w:val="16"/>
                <w:szCs w:val="16"/>
              </w:rPr>
              <w:t>ш</w:t>
            </w:r>
            <w:r w:rsidRPr="00CF5451">
              <w:rPr>
                <w:rFonts w:ascii="Arial" w:hAnsi="Arial" w:cs="Arial"/>
                <w:sz w:val="16"/>
                <w:szCs w:val="16"/>
              </w:rPr>
              <w:t>ленности // Доклады Томского госуда</w:t>
            </w:r>
            <w:r w:rsidRPr="00CF5451">
              <w:rPr>
                <w:rFonts w:ascii="Arial" w:hAnsi="Arial" w:cs="Arial"/>
                <w:sz w:val="16"/>
                <w:szCs w:val="16"/>
              </w:rPr>
              <w:t>р</w:t>
            </w:r>
            <w:r w:rsidRPr="00CF5451">
              <w:rPr>
                <w:rFonts w:ascii="Arial" w:hAnsi="Arial" w:cs="Arial"/>
                <w:sz w:val="16"/>
                <w:szCs w:val="16"/>
              </w:rPr>
              <w:t>ственного университета систем управления и радиоэлектрон</w:t>
            </w:r>
            <w:r w:rsidRPr="00CF5451">
              <w:rPr>
                <w:rFonts w:ascii="Arial" w:hAnsi="Arial" w:cs="Arial"/>
                <w:sz w:val="16"/>
                <w:szCs w:val="16"/>
              </w:rPr>
              <w:t>и</w:t>
            </w:r>
            <w:r w:rsidRPr="00CF5451">
              <w:rPr>
                <w:rFonts w:ascii="Arial" w:hAnsi="Arial" w:cs="Arial"/>
                <w:sz w:val="16"/>
                <w:szCs w:val="16"/>
              </w:rPr>
              <w:t xml:space="preserve">ки. – 2019. – Т. 22. № 3. – С. 125-131. –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</w:rPr>
              <w:t>Импакт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</w:rPr>
              <w:t>-фактор РИНЦ 2018 – 0.4.</w:t>
            </w:r>
          </w:p>
        </w:tc>
        <w:tc>
          <w:tcPr>
            <w:tcW w:w="3301" w:type="dxa"/>
          </w:tcPr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48" w:type="dxa"/>
          </w:tcPr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Shilin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Petrushkin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Bukreev</w:t>
            </w:r>
            <w:proofErr w:type="spellEnd"/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 xml:space="preserve"> V. Method for measuring motor speed o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tained from the spectral characteristics of current consumption form. Paper presen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CF5451">
              <w:rPr>
                <w:rFonts w:ascii="Arial" w:hAnsi="Arial" w:cs="Arial"/>
                <w:sz w:val="16"/>
                <w:szCs w:val="16"/>
                <w:lang w:val="en-US"/>
              </w:rPr>
              <w:t>ed at the Proceedings – 2018 International Conference on Industrial Engineering, Applications and Manufacturing, ICIEAM 2018. 2018. С. 8728882. Retrieved from www.scopus.com</w:t>
            </w:r>
          </w:p>
        </w:tc>
      </w:tr>
      <w:tr w:rsidR="005442BF" w:rsidRPr="00CF5451" w:rsidTr="00DC7C70">
        <w:tc>
          <w:tcPr>
            <w:tcW w:w="432" w:type="dxa"/>
          </w:tcPr>
          <w:p w:rsidR="005442BF" w:rsidRPr="00CF5451" w:rsidRDefault="005442BF" w:rsidP="00893F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5451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391" w:type="dxa"/>
          </w:tcPr>
          <w:p w:rsidR="005442BF" w:rsidRPr="00CF5451" w:rsidRDefault="005442BF" w:rsidP="00893F9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4" w:type="dxa"/>
          </w:tcPr>
          <w:p w:rsidR="005442BF" w:rsidRPr="00CF5451" w:rsidRDefault="005442BF" w:rsidP="00893F9E">
            <w:pPr>
              <w:pStyle w:val="ae"/>
              <w:autoSpaceDE w:val="0"/>
              <w:autoSpaceDN w:val="0"/>
              <w:rPr>
                <w:rFonts w:ascii="Arial" w:eastAsia="Times New Roman" w:hAnsi="Arial" w:cs="Arial"/>
              </w:rPr>
            </w:pPr>
          </w:p>
        </w:tc>
        <w:tc>
          <w:tcPr>
            <w:tcW w:w="1151" w:type="dxa"/>
          </w:tcPr>
          <w:p w:rsidR="005442BF" w:rsidRPr="00CF5451" w:rsidRDefault="005442BF" w:rsidP="00893F9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43" w:type="dxa"/>
          </w:tcPr>
          <w:p w:rsidR="005442BF" w:rsidRPr="00CF5451" w:rsidRDefault="005442BF" w:rsidP="00893F9E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4" w:type="dxa"/>
          </w:tcPr>
          <w:p w:rsidR="005442BF" w:rsidRPr="00CF5451" w:rsidRDefault="005442BF" w:rsidP="00875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</w:tcPr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8" w:type="dxa"/>
          </w:tcPr>
          <w:p w:rsidR="005442BF" w:rsidRPr="00CF5451" w:rsidRDefault="005442BF" w:rsidP="00893F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587571" w:rsidRPr="00CF5451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571" w:rsidRPr="00CF5451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5C78" w:rsidRPr="00CF5451" w:rsidRDefault="00885C78" w:rsidP="00885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1">
        <w:rPr>
          <w:rFonts w:ascii="Arial" w:hAnsi="Arial" w:cs="Arial"/>
          <w:sz w:val="24"/>
          <w:szCs w:val="24"/>
        </w:rPr>
        <w:t>Проректор по НСП                     ________________________             А.С. Гоголев</w:t>
      </w:r>
    </w:p>
    <w:p w:rsidR="00885C78" w:rsidRPr="00CF5451" w:rsidRDefault="00885C78" w:rsidP="00885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5C78" w:rsidRPr="00CF5451" w:rsidRDefault="00885C78" w:rsidP="00885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1">
        <w:rPr>
          <w:rFonts w:ascii="Arial" w:hAnsi="Arial" w:cs="Arial"/>
          <w:sz w:val="24"/>
          <w:szCs w:val="24"/>
        </w:rPr>
        <w:t>дата составления ________________</w:t>
      </w:r>
    </w:p>
    <w:p w:rsidR="002057D2" w:rsidRPr="00CF5451" w:rsidRDefault="00885C78" w:rsidP="00885C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451">
        <w:rPr>
          <w:rFonts w:ascii="Arial" w:hAnsi="Arial" w:cs="Arial"/>
          <w:sz w:val="24"/>
          <w:szCs w:val="24"/>
        </w:rPr>
        <w:t>М.П.</w:t>
      </w:r>
    </w:p>
    <w:sectPr w:rsidR="002057D2" w:rsidRPr="00CF5451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15" w:rsidRDefault="00CB1F15" w:rsidP="005C2005">
      <w:pPr>
        <w:spacing w:after="0" w:line="240" w:lineRule="auto"/>
      </w:pPr>
      <w:r>
        <w:separator/>
      </w:r>
    </w:p>
  </w:endnote>
  <w:endnote w:type="continuationSeparator" w:id="0">
    <w:p w:rsidR="00CB1F15" w:rsidRDefault="00CB1F15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15" w:rsidRDefault="00CB1F15" w:rsidP="005C2005">
      <w:pPr>
        <w:spacing w:after="0" w:line="240" w:lineRule="auto"/>
      </w:pPr>
      <w:r>
        <w:separator/>
      </w:r>
    </w:p>
  </w:footnote>
  <w:footnote w:type="continuationSeparator" w:id="0">
    <w:p w:rsidR="00CB1F15" w:rsidRDefault="00CB1F15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EEB"/>
    <w:multiLevelType w:val="hybridMultilevel"/>
    <w:tmpl w:val="61DA3EC0"/>
    <w:lvl w:ilvl="0" w:tplc="A5C404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73566"/>
    <w:multiLevelType w:val="hybridMultilevel"/>
    <w:tmpl w:val="B0D2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58AE"/>
    <w:multiLevelType w:val="hybridMultilevel"/>
    <w:tmpl w:val="57C2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C391E"/>
    <w:multiLevelType w:val="hybridMultilevel"/>
    <w:tmpl w:val="F7F4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80858"/>
    <w:multiLevelType w:val="hybridMultilevel"/>
    <w:tmpl w:val="27F8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35207"/>
    <w:multiLevelType w:val="hybridMultilevel"/>
    <w:tmpl w:val="6562F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538BD"/>
    <w:multiLevelType w:val="hybridMultilevel"/>
    <w:tmpl w:val="564C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65BF5"/>
    <w:multiLevelType w:val="hybridMultilevel"/>
    <w:tmpl w:val="27929970"/>
    <w:lvl w:ilvl="0" w:tplc="CB981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73D81"/>
    <w:multiLevelType w:val="hybridMultilevel"/>
    <w:tmpl w:val="1FC42E0E"/>
    <w:lvl w:ilvl="0" w:tplc="22962EBA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5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57A07"/>
    <w:multiLevelType w:val="hybridMultilevel"/>
    <w:tmpl w:val="19228CD0"/>
    <w:lvl w:ilvl="0" w:tplc="AE1CFD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2"/>
  </w:num>
  <w:num w:numId="11">
    <w:abstractNumId w:val="12"/>
  </w:num>
  <w:num w:numId="12">
    <w:abstractNumId w:val="0"/>
  </w:num>
  <w:num w:numId="13">
    <w:abstractNumId w:val="16"/>
  </w:num>
  <w:num w:numId="14">
    <w:abstractNumId w:val="6"/>
  </w:num>
  <w:num w:numId="15">
    <w:abstractNumId w:val="4"/>
  </w:num>
  <w:num w:numId="16">
    <w:abstractNumId w:val="7"/>
  </w:num>
  <w:num w:numId="17">
    <w:abstractNumId w:val="3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35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9F"/>
    <w:rsid w:val="00076CF9"/>
    <w:rsid w:val="000C4B2D"/>
    <w:rsid w:val="000E0CCC"/>
    <w:rsid w:val="00165E64"/>
    <w:rsid w:val="001951F6"/>
    <w:rsid w:val="001D4F7A"/>
    <w:rsid w:val="001E4604"/>
    <w:rsid w:val="002057D2"/>
    <w:rsid w:val="00217729"/>
    <w:rsid w:val="00233099"/>
    <w:rsid w:val="00296CA4"/>
    <w:rsid w:val="00296CC3"/>
    <w:rsid w:val="0040749C"/>
    <w:rsid w:val="0048514D"/>
    <w:rsid w:val="005149B3"/>
    <w:rsid w:val="005442BF"/>
    <w:rsid w:val="005519BA"/>
    <w:rsid w:val="00587571"/>
    <w:rsid w:val="00596057"/>
    <w:rsid w:val="005C2005"/>
    <w:rsid w:val="005C7852"/>
    <w:rsid w:val="00644CEE"/>
    <w:rsid w:val="00646334"/>
    <w:rsid w:val="00682C5A"/>
    <w:rsid w:val="00684E00"/>
    <w:rsid w:val="00691A0F"/>
    <w:rsid w:val="006B33BE"/>
    <w:rsid w:val="006C70F1"/>
    <w:rsid w:val="006D59CE"/>
    <w:rsid w:val="006F7846"/>
    <w:rsid w:val="007379D5"/>
    <w:rsid w:val="00795BF4"/>
    <w:rsid w:val="00814275"/>
    <w:rsid w:val="00855455"/>
    <w:rsid w:val="008753B2"/>
    <w:rsid w:val="00885C78"/>
    <w:rsid w:val="00893F9E"/>
    <w:rsid w:val="008A2710"/>
    <w:rsid w:val="008B51E4"/>
    <w:rsid w:val="008C7B64"/>
    <w:rsid w:val="008F00DA"/>
    <w:rsid w:val="009B2FC7"/>
    <w:rsid w:val="00A5105D"/>
    <w:rsid w:val="00A65AB0"/>
    <w:rsid w:val="00AA2A1E"/>
    <w:rsid w:val="00AF022D"/>
    <w:rsid w:val="00AF58B2"/>
    <w:rsid w:val="00B93557"/>
    <w:rsid w:val="00BC1C98"/>
    <w:rsid w:val="00CB1F15"/>
    <w:rsid w:val="00CC0B62"/>
    <w:rsid w:val="00CC6E07"/>
    <w:rsid w:val="00CF5451"/>
    <w:rsid w:val="00D55ABC"/>
    <w:rsid w:val="00D8275C"/>
    <w:rsid w:val="00DA5AA6"/>
    <w:rsid w:val="00DC55A9"/>
    <w:rsid w:val="00DD2036"/>
    <w:rsid w:val="00E23B62"/>
    <w:rsid w:val="00E3497F"/>
    <w:rsid w:val="00E417EC"/>
    <w:rsid w:val="00E97EB8"/>
    <w:rsid w:val="00EC1A58"/>
    <w:rsid w:val="00EC1F9F"/>
    <w:rsid w:val="00ED72EE"/>
    <w:rsid w:val="00F14C49"/>
    <w:rsid w:val="00F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D55ABC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D55A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D55ABC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D55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7820</Words>
  <Characters>44579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Однокопылов Георгий Иванович</cp:lastModifiedBy>
  <cp:revision>8</cp:revision>
  <dcterms:created xsi:type="dcterms:W3CDTF">2023-04-07T07:54:00Z</dcterms:created>
  <dcterms:modified xsi:type="dcterms:W3CDTF">2025-04-30T10:05:00Z</dcterms:modified>
</cp:coreProperties>
</file>