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163" w:rsidRDefault="00402F18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481163" w:rsidRDefault="00402F18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481163" w:rsidRDefault="00402F18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481163" w:rsidRDefault="00402F18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481163" w:rsidRDefault="00481163">
      <w:pPr>
        <w:suppressAutoHyphens/>
        <w:jc w:val="center"/>
      </w:pPr>
    </w:p>
    <w:p w:rsidR="00481163" w:rsidRDefault="00402F18">
      <w:pPr>
        <w:suppressAutoHyphens/>
        <w:ind w:left="5387"/>
      </w:pPr>
      <w:r>
        <w:t>УТВЕРЖДАЮ</w:t>
      </w:r>
    </w:p>
    <w:p w:rsidR="00481163" w:rsidRDefault="00402F18">
      <w:pPr>
        <w:suppressAutoHyphens/>
        <w:ind w:left="5387"/>
      </w:pPr>
      <w:r>
        <w:t>Директор ЮТИ ТПУ</w:t>
      </w:r>
    </w:p>
    <w:p w:rsidR="00481163" w:rsidRDefault="00402F18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481163" w:rsidRDefault="00402F18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:rsidR="00481163" w:rsidRDefault="00481163">
      <w:pPr>
        <w:suppressAutoHyphens/>
        <w:ind w:left="6381"/>
      </w:pPr>
    </w:p>
    <w:p w:rsidR="00481163" w:rsidRDefault="00402F18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481163" w:rsidRDefault="00402F1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481163" w:rsidRDefault="00402F18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48116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481163" w:rsidRDefault="00481163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1163" w:rsidRDefault="00402F18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1163" w:rsidRDefault="00402F18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1163" w:rsidRDefault="00402F18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</w:pPr>
            <w:r>
              <w:t>6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1163" w:rsidRDefault="00402F18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center"/>
            </w:pPr>
            <w:r>
              <w:t>6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center"/>
            </w:pPr>
            <w:r>
              <w:t>4</w:t>
            </w:r>
          </w:p>
        </w:tc>
      </w:tr>
      <w:tr w:rsidR="00481163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481163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</w:pPr>
            <w:r>
              <w:t>*</w:t>
            </w:r>
          </w:p>
        </w:tc>
      </w:tr>
      <w:tr w:rsidR="00481163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</w:pPr>
            <w:r>
              <w:t>**</w:t>
            </w:r>
          </w:p>
        </w:tc>
      </w:tr>
      <w:tr w:rsidR="00481163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suppressAutoHyphens/>
              <w:jc w:val="center"/>
            </w:pPr>
            <w:r>
              <w:t>216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81163" w:rsidRDefault="00481163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163" w:rsidRDefault="00481163">
            <w:pPr>
              <w:suppressAutoHyphens/>
              <w:jc w:val="center"/>
              <w:rPr>
                <w:b/>
              </w:rPr>
            </w:pP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163" w:rsidRDefault="00402F18">
            <w:pPr>
              <w:suppressAutoHyphens/>
              <w:jc w:val="center"/>
            </w:pPr>
            <w:r>
              <w:t>ОПТ</w:t>
            </w:r>
          </w:p>
        </w:tc>
      </w:tr>
    </w:tbl>
    <w:p w:rsidR="00481163" w:rsidRDefault="004811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1163" w:rsidRDefault="0048116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1163" w:rsidRDefault="0048116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81163" w:rsidRDefault="00481163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</w:pPr>
            <w:r>
              <w:t>А. П. Родзевич</w:t>
            </w:r>
          </w:p>
        </w:tc>
      </w:tr>
      <w:tr w:rsidR="00481163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81163" w:rsidRDefault="00481163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1163" w:rsidRDefault="00402F18">
            <w:pPr>
              <w:suppressAutoHyphens/>
            </w:pPr>
            <w:r>
              <w:t>А. А. Сапрыкин</w:t>
            </w:r>
          </w:p>
        </w:tc>
      </w:tr>
    </w:tbl>
    <w:p w:rsidR="00481163" w:rsidRDefault="00481163">
      <w:pPr>
        <w:suppressAutoHyphens/>
        <w:rPr>
          <w:iCs/>
          <w:sz w:val="20"/>
        </w:rPr>
      </w:pPr>
    </w:p>
    <w:p w:rsidR="00481163" w:rsidRDefault="00481163">
      <w:pPr>
        <w:pStyle w:val="1"/>
        <w:suppressAutoHyphens/>
        <w:sectPr w:rsidR="00481163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81163" w:rsidRDefault="00402F18">
      <w:pPr>
        <w:pStyle w:val="1"/>
        <w:suppressAutoHyphens/>
      </w:pPr>
      <w:r>
        <w:lastRenderedPageBreak/>
        <w:t>Цели практики</w:t>
      </w:r>
    </w:p>
    <w:p w:rsidR="00481163" w:rsidRDefault="00402F18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</w:t>
      </w:r>
      <w:r>
        <w:t>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481163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481163" w:rsidRDefault="00402F18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481163" w:rsidRDefault="00402F18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481163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481163" w:rsidRDefault="00481163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481163" w:rsidRDefault="00481163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 xml:space="preserve">Наименование </w:t>
            </w:r>
          </w:p>
        </w:tc>
      </w:tr>
      <w:tr w:rsidR="00481163">
        <w:trPr>
          <w:trHeight w:val="735"/>
        </w:trPr>
        <w:tc>
          <w:tcPr>
            <w:tcW w:w="1336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</w:t>
            </w:r>
            <w:r>
              <w:rPr>
                <w:sz w:val="18"/>
                <w:szCs w:val="14"/>
              </w:rPr>
              <w:t>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520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Оценивает риски и определяет меры по обеспечению безопасности технологических процессов</w:t>
            </w: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технологиями переработки вторичных металлургических материалов и оборудованием, которое используется при переработке техногенного сырья вторичных металлов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Оценивать качество металлургических техногенных ресурсов, п</w:t>
            </w:r>
            <w:r>
              <w:rPr>
                <w:sz w:val="18"/>
                <w:szCs w:val="14"/>
              </w:rPr>
              <w:t>ервичного металла и стали. Анализировать связи между качеством сырья и показателями производства металла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процессы, протекающие при металлургической переработке техногенного и вторичного сырья</w:t>
            </w:r>
          </w:p>
        </w:tc>
      </w:tr>
      <w:tr w:rsidR="00481163">
        <w:trPr>
          <w:trHeight w:val="735"/>
        </w:trPr>
        <w:tc>
          <w:tcPr>
            <w:tcW w:w="1336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</w:t>
            </w:r>
            <w:r>
              <w:rPr>
                <w:sz w:val="18"/>
                <w:szCs w:val="14"/>
              </w:rPr>
              <w:t xml:space="preserve">осуществлять и корректировать технологические процессы в металлургии и </w:t>
            </w:r>
            <w:proofErr w:type="spellStart"/>
            <w:r>
              <w:rPr>
                <w:sz w:val="18"/>
                <w:szCs w:val="14"/>
              </w:rPr>
              <w:t>материалообработке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Определяет организационные и технические меры по формированию шихтовых материалов в доменном цехе</w:t>
            </w: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методами анализа </w:t>
            </w:r>
            <w:r>
              <w:rPr>
                <w:sz w:val="18"/>
                <w:szCs w:val="14"/>
              </w:rPr>
              <w:t>качественных показателей шихтовых материалов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формировать учетную документацию шихтовых материалов, используемых на участках доменного цеха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схемы размещения шихтовых материалов в бункерах доменных печей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Определяет организационные и технические меры для выплавки стали в конвертере</w:t>
            </w: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методами контроля технологического процесса выплавки стали в конвертере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пользоваться методикой расчетов </w:t>
            </w:r>
            <w:r>
              <w:rPr>
                <w:sz w:val="18"/>
                <w:szCs w:val="14"/>
              </w:rPr>
              <w:t>шихтовки конвертерной плавки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технологические процессы производства стали в конвертерах и на агрегатах внепечной обработки металла: "ковш-печь", установка доводки и </w:t>
            </w:r>
            <w:proofErr w:type="spellStart"/>
            <w:r>
              <w:rPr>
                <w:sz w:val="18"/>
                <w:szCs w:val="14"/>
              </w:rPr>
              <w:t>вакуумирования</w:t>
            </w:r>
            <w:proofErr w:type="spellEnd"/>
            <w:r>
              <w:rPr>
                <w:sz w:val="18"/>
                <w:szCs w:val="14"/>
              </w:rPr>
              <w:t xml:space="preserve"> металла</w:t>
            </w:r>
          </w:p>
        </w:tc>
      </w:tr>
      <w:tr w:rsidR="00481163">
        <w:trPr>
          <w:trHeight w:val="735"/>
        </w:trPr>
        <w:tc>
          <w:tcPr>
            <w:tcW w:w="1336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выявлять объекты для </w:t>
            </w:r>
            <w:r>
              <w:rPr>
                <w:sz w:val="18"/>
                <w:szCs w:val="14"/>
              </w:rPr>
              <w:t xml:space="preserve">улучшения в технике и </w:t>
            </w:r>
            <w:r>
              <w:rPr>
                <w:sz w:val="18"/>
                <w:szCs w:val="14"/>
              </w:rPr>
              <w:lastRenderedPageBreak/>
              <w:t>технологии</w:t>
            </w:r>
          </w:p>
        </w:tc>
        <w:tc>
          <w:tcPr>
            <w:tcW w:w="1520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Выявляет объекты для улучшения в технике и технологии</w:t>
            </w: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анализировать конструкции современных доменных печей и их элементов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устройство, принцип действия, правила </w:t>
            </w:r>
            <w:r>
              <w:rPr>
                <w:sz w:val="18"/>
                <w:szCs w:val="14"/>
              </w:rPr>
              <w:t xml:space="preserve">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</w:t>
            </w:r>
            <w:r>
              <w:rPr>
                <w:sz w:val="18"/>
                <w:szCs w:val="14"/>
              </w:rPr>
              <w:t>отделении</w:t>
            </w:r>
          </w:p>
        </w:tc>
      </w:tr>
      <w:tr w:rsidR="00481163">
        <w:trPr>
          <w:trHeight w:val="735"/>
        </w:trPr>
        <w:tc>
          <w:tcPr>
            <w:tcW w:w="1336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tcW w:w="1397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управлять подразделением литейного производства</w:t>
            </w:r>
          </w:p>
        </w:tc>
        <w:tc>
          <w:tcPr>
            <w:tcW w:w="1520" w:type="dxa"/>
            <w:vMerge w:val="restart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Контроль выполнения плана производства изделий</w:t>
            </w: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приемами осуществлениями и корректировки технологических процессов в металлургии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6.1У4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корректировать технологические процессы металлургического производства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6.1З3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технологический процесс литейного производства</w:t>
            </w:r>
          </w:p>
        </w:tc>
      </w:tr>
      <w:tr w:rsidR="00481163">
        <w:trPr>
          <w:trHeight w:val="735"/>
        </w:trPr>
        <w:tc>
          <w:tcPr>
            <w:tcW w:w="1336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481163" w:rsidRDefault="00481163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481163" w:rsidRDefault="0048116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481163" w:rsidRDefault="00402F18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6.1З6</w:t>
            </w:r>
          </w:p>
        </w:tc>
        <w:tc>
          <w:tcPr>
            <w:tcW w:w="1933" w:type="dxa"/>
            <w:vAlign w:val="center"/>
          </w:tcPr>
          <w:p w:rsidR="00481163" w:rsidRDefault="00402F1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структуру современного металлургического производства</w:t>
            </w:r>
          </w:p>
        </w:tc>
      </w:tr>
    </w:tbl>
    <w:p w:rsidR="00481163" w:rsidRDefault="00402F18">
      <w:pPr>
        <w:pStyle w:val="1"/>
      </w:pPr>
      <w:r>
        <w:t xml:space="preserve">Место </w:t>
      </w:r>
      <w:r>
        <w:t>практики в структуре ОПОП</w:t>
      </w:r>
    </w:p>
    <w:p w:rsidR="00481163" w:rsidRDefault="00402F18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481163" w:rsidRDefault="00481163">
      <w:pPr>
        <w:pStyle w:val="afff0"/>
        <w:suppressAutoHyphens/>
      </w:pPr>
    </w:p>
    <w:p w:rsidR="00481163" w:rsidRDefault="00402F18">
      <w:pPr>
        <w:pStyle w:val="1"/>
        <w:suppressAutoHyphens/>
      </w:pPr>
      <w:r>
        <w:t>Вид практики, способ, форма и место ее проведения</w:t>
      </w:r>
    </w:p>
    <w:p w:rsidR="00481163" w:rsidRDefault="00402F18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481163" w:rsidRDefault="00402F18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(проектно-технологич</w:t>
      </w:r>
      <w:r>
        <w:rPr>
          <w:szCs w:val="20"/>
        </w:rPr>
        <w:t>еская) практика</w:t>
      </w:r>
      <w:bookmarkEnd w:id="1"/>
    </w:p>
    <w:p w:rsidR="00481163" w:rsidRDefault="00402F18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481163" w:rsidRDefault="00402F18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481163" w:rsidRDefault="00402F18">
      <w:pPr>
        <w:pStyle w:val="a5"/>
        <w:suppressAutoHyphens/>
      </w:pPr>
      <w:r>
        <w:t>Стационарная;</w:t>
      </w:r>
    </w:p>
    <w:p w:rsidR="00481163" w:rsidRDefault="00402F18">
      <w:pPr>
        <w:pStyle w:val="a5"/>
        <w:suppressAutoHyphens/>
      </w:pPr>
      <w:r>
        <w:t>Выездная.</w:t>
      </w:r>
    </w:p>
    <w:p w:rsidR="00481163" w:rsidRDefault="00402F18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481163" w:rsidRDefault="00402F18">
      <w:pPr>
        <w:pStyle w:val="a5"/>
        <w:suppressAutoHyphens/>
      </w:pPr>
      <w:r>
        <w:t>Профильные организации;</w:t>
      </w:r>
    </w:p>
    <w:p w:rsidR="00481163" w:rsidRDefault="00402F18">
      <w:pPr>
        <w:pStyle w:val="a5"/>
        <w:suppressAutoHyphens/>
      </w:pPr>
      <w:r>
        <w:t>Структурные подразделения университета.</w:t>
      </w:r>
    </w:p>
    <w:p w:rsidR="00481163" w:rsidRDefault="00402F18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</w:t>
      </w:r>
      <w:r>
        <w:t>овий труда).</w:t>
      </w:r>
    </w:p>
    <w:p w:rsidR="00481163" w:rsidRDefault="00481163">
      <w:pPr>
        <w:pStyle w:val="afff0"/>
        <w:suppressAutoHyphens/>
      </w:pPr>
    </w:p>
    <w:p w:rsidR="00481163" w:rsidRDefault="00402F18">
      <w:pPr>
        <w:pStyle w:val="1"/>
        <w:suppressAutoHyphens/>
      </w:pPr>
      <w:r>
        <w:lastRenderedPageBreak/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481163" w:rsidRDefault="00402F18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481163">
        <w:tc>
          <w:tcPr>
            <w:tcW w:w="7963" w:type="dxa"/>
            <w:gridSpan w:val="2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Планируемые результаты обучения при прохождении прак</w:t>
            </w:r>
            <w:r>
              <w:t>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Индикатор достижения компетенции</w:t>
            </w:r>
          </w:p>
        </w:tc>
      </w:tr>
      <w:tr w:rsidR="00481163">
        <w:tc>
          <w:tcPr>
            <w:tcW w:w="807" w:type="dxa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481163" w:rsidRDefault="00481163">
            <w:pPr>
              <w:pStyle w:val="afffd"/>
              <w:rPr>
                <w:sz w:val="14"/>
              </w:rPr>
            </w:pPr>
          </w:p>
        </w:tc>
      </w:tr>
      <w:tr w:rsidR="00481163">
        <w:trPr>
          <w:trHeight w:val="412"/>
        </w:trPr>
        <w:tc>
          <w:tcPr>
            <w:tcW w:w="807" w:type="dxa"/>
            <w:vAlign w:val="center"/>
          </w:tcPr>
          <w:p w:rsidR="00481163" w:rsidRDefault="00402F1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481163" w:rsidRDefault="00402F1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Владеть навыками управления технологическими процессами </w:t>
            </w:r>
            <w:proofErr w:type="gramStart"/>
            <w:r>
              <w:rPr>
                <w:bCs/>
                <w:sz w:val="22"/>
                <w:szCs w:val="22"/>
              </w:rPr>
              <w:t xml:space="preserve">метал- </w:t>
            </w:r>
            <w:proofErr w:type="spellStart"/>
            <w:r>
              <w:rPr>
                <w:bCs/>
                <w:sz w:val="22"/>
                <w:szCs w:val="22"/>
              </w:rPr>
              <w:t>лургического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676" w:type="dxa"/>
            <w:vAlign w:val="center"/>
          </w:tcPr>
          <w:p w:rsidR="00481163" w:rsidRDefault="00402F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 w:rsidR="00481163">
        <w:trPr>
          <w:trHeight w:val="412"/>
        </w:trPr>
        <w:tc>
          <w:tcPr>
            <w:tcW w:w="807" w:type="dxa"/>
            <w:vAlign w:val="center"/>
          </w:tcPr>
          <w:p w:rsidR="00481163" w:rsidRDefault="00402F1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481163" w:rsidRDefault="00402F1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Способность осуществлять и корректировать технологические </w:t>
            </w:r>
            <w:proofErr w:type="gramStart"/>
            <w:r>
              <w:rPr>
                <w:bCs/>
                <w:sz w:val="22"/>
                <w:szCs w:val="22"/>
              </w:rPr>
              <w:t xml:space="preserve">про- </w:t>
            </w:r>
            <w:proofErr w:type="spellStart"/>
            <w:r>
              <w:rPr>
                <w:bCs/>
                <w:sz w:val="22"/>
                <w:szCs w:val="22"/>
              </w:rPr>
              <w:t>цессы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</w:t>
            </w:r>
            <w:r>
              <w:rPr>
                <w:bCs/>
                <w:sz w:val="22"/>
                <w:szCs w:val="22"/>
              </w:rPr>
              <w:t xml:space="preserve">металлургии и </w:t>
            </w:r>
            <w:proofErr w:type="spellStart"/>
            <w:r>
              <w:rPr>
                <w:bCs/>
                <w:sz w:val="22"/>
                <w:szCs w:val="22"/>
              </w:rPr>
              <w:t>материалообработке</w:t>
            </w:r>
            <w:proofErr w:type="spellEnd"/>
          </w:p>
        </w:tc>
        <w:tc>
          <w:tcPr>
            <w:tcW w:w="1676" w:type="dxa"/>
            <w:vAlign w:val="center"/>
          </w:tcPr>
          <w:p w:rsidR="00481163" w:rsidRDefault="00402F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:rsidR="00481163" w:rsidRDefault="00402F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</w:tc>
      </w:tr>
      <w:tr w:rsidR="00481163">
        <w:trPr>
          <w:trHeight w:val="412"/>
        </w:trPr>
        <w:tc>
          <w:tcPr>
            <w:tcW w:w="807" w:type="dxa"/>
            <w:vAlign w:val="center"/>
          </w:tcPr>
          <w:p w:rsidR="00481163" w:rsidRDefault="00402F1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481163" w:rsidRDefault="00402F1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Готовность выявлять объекты для улучшения в технике и технологии</w:t>
            </w:r>
          </w:p>
        </w:tc>
        <w:tc>
          <w:tcPr>
            <w:tcW w:w="1676" w:type="dxa"/>
            <w:vAlign w:val="center"/>
          </w:tcPr>
          <w:p w:rsidR="00481163" w:rsidRDefault="00402F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</w:tc>
      </w:tr>
      <w:tr w:rsidR="00481163">
        <w:trPr>
          <w:trHeight w:val="412"/>
        </w:trPr>
        <w:tc>
          <w:tcPr>
            <w:tcW w:w="807" w:type="dxa"/>
            <w:vAlign w:val="center"/>
          </w:tcPr>
          <w:p w:rsidR="00481163" w:rsidRDefault="00402F1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481163" w:rsidRDefault="00402F18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Готовность оценивать риски и определять меры по обеспечению </w:t>
            </w:r>
            <w:proofErr w:type="gramStart"/>
            <w:r>
              <w:rPr>
                <w:bCs/>
                <w:sz w:val="22"/>
                <w:szCs w:val="22"/>
              </w:rPr>
              <w:t>без- опасности</w:t>
            </w:r>
            <w:proofErr w:type="gramEnd"/>
            <w:r>
              <w:rPr>
                <w:bCs/>
                <w:sz w:val="22"/>
                <w:szCs w:val="22"/>
              </w:rPr>
              <w:t xml:space="preserve"> технологических процессов</w:t>
            </w:r>
          </w:p>
        </w:tc>
        <w:tc>
          <w:tcPr>
            <w:tcW w:w="1676" w:type="dxa"/>
            <w:vAlign w:val="center"/>
          </w:tcPr>
          <w:p w:rsidR="00481163" w:rsidRDefault="00402F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</w:t>
            </w:r>
            <w:r>
              <w:rPr>
                <w:sz w:val="22"/>
                <w:szCs w:val="22"/>
              </w:rPr>
              <w:t>6.2</w:t>
            </w:r>
          </w:p>
        </w:tc>
      </w:tr>
    </w:tbl>
    <w:p w:rsidR="00481163" w:rsidRDefault="00402F18">
      <w:pPr>
        <w:pStyle w:val="1"/>
        <w:suppressAutoHyphens/>
      </w:pPr>
      <w:r>
        <w:t>Структура и содержание практики</w:t>
      </w:r>
    </w:p>
    <w:p w:rsidR="00481163" w:rsidRDefault="00402F18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481163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№</w:t>
            </w:r>
          </w:p>
          <w:p w:rsidR="00481163" w:rsidRDefault="00402F18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Этапы практики</w:t>
            </w:r>
          </w:p>
          <w:p w:rsidR="00481163" w:rsidRDefault="00402F18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481163" w:rsidRDefault="00402F18">
            <w:pPr>
              <w:pStyle w:val="afffd"/>
            </w:pPr>
            <w:r>
              <w:t>Формируемый результат обучения</w:t>
            </w:r>
          </w:p>
        </w:tc>
      </w:tr>
      <w:tr w:rsidR="00481163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481163" w:rsidRDefault="0048116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481163" w:rsidRDefault="0048116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481163" w:rsidRDefault="00481163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481163">
        <w:tc>
          <w:tcPr>
            <w:tcW w:w="939" w:type="dxa"/>
          </w:tcPr>
          <w:p w:rsidR="00481163" w:rsidRDefault="00402F1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</w:t>
            </w:r>
            <w:r>
              <w:rPr>
                <w:sz w:val="20"/>
                <w:szCs w:val="20"/>
              </w:rPr>
              <w:t>труда, техники безопасности, пожарной безопасности, правилами внутреннего трудового распорядка;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предприятия.</w:t>
            </w:r>
          </w:p>
        </w:tc>
        <w:tc>
          <w:tcPr>
            <w:tcW w:w="1386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481163">
        <w:tc>
          <w:tcPr>
            <w:tcW w:w="939" w:type="dxa"/>
          </w:tcPr>
          <w:p w:rsidR="00481163" w:rsidRDefault="00402F1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</w:t>
            </w:r>
            <w:r>
              <w:rPr>
                <w:sz w:val="20"/>
                <w:szCs w:val="20"/>
              </w:rPr>
              <w:t xml:space="preserve">индивидуального </w:t>
            </w:r>
            <w:proofErr w:type="gramStart"/>
            <w:r>
              <w:rPr>
                <w:sz w:val="20"/>
                <w:szCs w:val="20"/>
              </w:rPr>
              <w:t>задания::</w:t>
            </w:r>
            <w:proofErr w:type="gramEnd"/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обязанности мастера по организации производственной </w:t>
            </w:r>
            <w:proofErr w:type="gramStart"/>
            <w:r>
              <w:rPr>
                <w:sz w:val="20"/>
                <w:szCs w:val="20"/>
              </w:rPr>
              <w:t xml:space="preserve">деятельно- </w:t>
            </w:r>
            <w:proofErr w:type="spellStart"/>
            <w:r>
              <w:rPr>
                <w:sz w:val="20"/>
                <w:szCs w:val="20"/>
              </w:rPr>
              <w:t>сти</w:t>
            </w:r>
            <w:proofErr w:type="spellEnd"/>
            <w:proofErr w:type="gramEnd"/>
            <w:r>
              <w:rPr>
                <w:sz w:val="20"/>
                <w:szCs w:val="20"/>
              </w:rPr>
              <w:t>, планированию, охране труда и ТБ;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 обязанности служб и должностных лиц;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 работ, выполн</w:t>
            </w:r>
            <w:r>
              <w:rPr>
                <w:sz w:val="20"/>
                <w:szCs w:val="20"/>
              </w:rPr>
              <w:t>яемых в бюро (цехе);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технологические процессы, применяемые в бюро (цехе) и методы их совершенствования;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методы и средства контроля качества выпускаемой продукции, </w:t>
            </w:r>
            <w:proofErr w:type="spellStart"/>
            <w:proofErr w:type="gramStart"/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роприятия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повышению качества выпускаемой продукции.</w:t>
            </w:r>
          </w:p>
        </w:tc>
        <w:tc>
          <w:tcPr>
            <w:tcW w:w="1386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481163">
        <w:tc>
          <w:tcPr>
            <w:tcW w:w="939" w:type="dxa"/>
          </w:tcPr>
          <w:p w:rsidR="00481163" w:rsidRDefault="00402F1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</w:t>
            </w:r>
            <w:r>
              <w:rPr>
                <w:sz w:val="20"/>
                <w:szCs w:val="20"/>
              </w:rPr>
              <w:t xml:space="preserve">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 правовых данных.</w:t>
            </w:r>
          </w:p>
        </w:tc>
        <w:tc>
          <w:tcPr>
            <w:tcW w:w="1386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481163">
        <w:tc>
          <w:tcPr>
            <w:tcW w:w="939" w:type="dxa"/>
          </w:tcPr>
          <w:p w:rsidR="00481163" w:rsidRDefault="00402F1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</w:t>
            </w:r>
            <w:proofErr w:type="gramStart"/>
            <w:r>
              <w:rPr>
                <w:sz w:val="20"/>
                <w:szCs w:val="20"/>
              </w:rPr>
              <w:t>пред- приятия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необходимой </w:t>
            </w:r>
            <w:r>
              <w:rPr>
                <w:sz w:val="20"/>
                <w:szCs w:val="20"/>
              </w:rPr>
              <w:t>документации;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практике;</w:t>
            </w:r>
          </w:p>
          <w:p w:rsidR="00481163" w:rsidRDefault="00402F18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кафедре.</w:t>
            </w:r>
          </w:p>
        </w:tc>
        <w:tc>
          <w:tcPr>
            <w:tcW w:w="1386" w:type="dxa"/>
          </w:tcPr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481163" w:rsidRDefault="00402F1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:rsidR="00481163" w:rsidRDefault="00402F18">
      <w:pPr>
        <w:pStyle w:val="1"/>
        <w:suppressAutoHyphens/>
      </w:pPr>
      <w:r>
        <w:t>Формы отчетности по практике</w:t>
      </w:r>
    </w:p>
    <w:p w:rsidR="00481163" w:rsidRDefault="00402F18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481163" w:rsidRDefault="00402F18">
      <w:pPr>
        <w:pStyle w:val="a5"/>
        <w:suppressAutoHyphens/>
      </w:pPr>
      <w:r>
        <w:t xml:space="preserve">дневник </w:t>
      </w:r>
      <w:r>
        <w:t>обучающегося по практике;</w:t>
      </w:r>
    </w:p>
    <w:p w:rsidR="00481163" w:rsidRDefault="00402F18">
      <w:pPr>
        <w:pStyle w:val="a5"/>
        <w:suppressAutoHyphens/>
      </w:pPr>
      <w:r>
        <w:t>отчет о практике.</w:t>
      </w:r>
    </w:p>
    <w:p w:rsidR="00481163" w:rsidRDefault="00402F18">
      <w:pPr>
        <w:pStyle w:val="1"/>
        <w:suppressAutoHyphens/>
      </w:pPr>
      <w:r>
        <w:t>Промежуточная аттестация</w:t>
      </w:r>
    </w:p>
    <w:p w:rsidR="00481163" w:rsidRDefault="00402F18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481163" w:rsidRDefault="00402F18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</w:t>
      </w:r>
      <w:r>
        <w:rPr>
          <w:rFonts w:eastAsia="Cambria"/>
        </w:rPr>
        <w:t xml:space="preserve">тике является неотъемлемой частью настоящей программы практики и представлен отдельным </w:t>
      </w:r>
      <w:r>
        <w:rPr>
          <w:rFonts w:eastAsia="Cambria"/>
        </w:rPr>
        <w:lastRenderedPageBreak/>
        <w:t>документом в приложении.</w:t>
      </w:r>
    </w:p>
    <w:p w:rsidR="00481163" w:rsidRDefault="00402F18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481163" w:rsidRDefault="00402F18">
      <w:pPr>
        <w:pStyle w:val="2"/>
        <w:suppressAutoHyphens/>
      </w:pPr>
      <w:r>
        <w:t>Учебно-методическое обеспечение</w:t>
      </w:r>
    </w:p>
    <w:p w:rsidR="00481163" w:rsidRDefault="00402F18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481163" w:rsidRDefault="00402F18">
      <w:pPr>
        <w:pStyle w:val="a2"/>
        <w:jc w:val="both"/>
      </w:pPr>
      <w:r>
        <w:t>Чернышов, Е. А. Теоретические осно</w:t>
      </w:r>
      <w:r>
        <w:t xml:space="preserve">вы литейного производства. Теория формирования </w:t>
      </w:r>
      <w:proofErr w:type="gramStart"/>
      <w:r>
        <w:t>отливки :</w:t>
      </w:r>
      <w:proofErr w:type="gramEnd"/>
      <w:r>
        <w:t xml:space="preserve"> учебник / Чернышов Е. </w:t>
      </w:r>
      <w:proofErr w:type="spellStart"/>
      <w:r>
        <w:t>А.,Евстигнеев</w:t>
      </w:r>
      <w:proofErr w:type="spellEnd"/>
      <w:r>
        <w:t xml:space="preserve"> А. И.3-е изд. — Москва : Машиностроение, 2023. — 480 с. — Книга из коллекции Машиностроение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https://e.lanbook.com/book/38753</w:t>
      </w:r>
      <w:r>
        <w:t>6</w:t>
      </w:r>
    </w:p>
    <w:p w:rsidR="00481163" w:rsidRDefault="00402F18">
      <w:pPr>
        <w:pStyle w:val="a2"/>
        <w:jc w:val="both"/>
      </w:pPr>
      <w:r>
        <w:t xml:space="preserve">Фетисов, Г. П. Литейное </w:t>
      </w:r>
      <w:proofErr w:type="gramStart"/>
      <w:r>
        <w:t>производство :</w:t>
      </w:r>
      <w:proofErr w:type="gramEnd"/>
      <w:r>
        <w:t xml:space="preserve"> учебное пособие для вузов / Г. П. Фетисов.8-е изд. — Москва : </w:t>
      </w:r>
      <w:proofErr w:type="spellStart"/>
      <w:r>
        <w:t>Юрайт</w:t>
      </w:r>
      <w:proofErr w:type="spellEnd"/>
      <w:r>
        <w:t>, 2024. — 58 с. — (Высшее образование</w:t>
      </w:r>
      <w:proofErr w:type="gramStart"/>
      <w:r>
        <w:t>)..</w:t>
      </w:r>
      <w:proofErr w:type="gramEnd"/>
      <w:r>
        <w:t xml:space="preserve"> – URL: https://urait.ru/bcode/556483</w:t>
      </w:r>
    </w:p>
    <w:p w:rsidR="00481163" w:rsidRDefault="00402F18">
      <w:pPr>
        <w:pStyle w:val="a2"/>
        <w:jc w:val="both"/>
      </w:pPr>
      <w:r>
        <w:t xml:space="preserve">Гини, Э. Ч. Технология литейного производства. Специальные виды </w:t>
      </w:r>
      <w:proofErr w:type="gramStart"/>
      <w:r>
        <w:t xml:space="preserve">литья </w:t>
      </w:r>
      <w:r>
        <w:t>:</w:t>
      </w:r>
      <w:proofErr w:type="gramEnd"/>
      <w:r>
        <w:t xml:space="preserve"> учебник / Э. Ч. Гини, А. М. Зарубин, В. А. Рыбкин ; под ред. В. А. </w:t>
      </w:r>
      <w:proofErr w:type="spellStart"/>
      <w:r>
        <w:t>РыбкинаМосква</w:t>
      </w:r>
      <w:proofErr w:type="spellEnd"/>
      <w:r>
        <w:t xml:space="preserve"> : Академия, 2005. — 350 </w:t>
      </w:r>
      <w:proofErr w:type="gramStart"/>
      <w:r>
        <w:t>с. :</w:t>
      </w:r>
      <w:proofErr w:type="gramEnd"/>
      <w:r>
        <w:t xml:space="preserve"> ил. — (Высшее профессиональное образование). –</w:t>
      </w:r>
    </w:p>
    <w:p w:rsidR="00481163" w:rsidRDefault="00402F18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481163" w:rsidRDefault="00402F18">
      <w:pPr>
        <w:pStyle w:val="a2"/>
        <w:jc w:val="both"/>
      </w:pPr>
      <w:r>
        <w:t xml:space="preserve">Беляев, С. В. История развития литейного дела : учебное пособие / </w:t>
      </w:r>
      <w:r>
        <w:t xml:space="preserve">Беляев С. В., Баранов В. Н., Губанов И. Ю., </w:t>
      </w:r>
      <w:proofErr w:type="spellStart"/>
      <w:r>
        <w:t>Лесив</w:t>
      </w:r>
      <w:proofErr w:type="spellEnd"/>
      <w:r>
        <w:t xml:space="preserve"> Е. М., Деев В. Б., Сидельников С. Б., Константинов И. Л., Безруких А. И., Горохов Ю. В., Усков И. В., Фролов В. Ф., </w:t>
      </w:r>
      <w:proofErr w:type="spellStart"/>
      <w:r>
        <w:t>Саначева</w:t>
      </w:r>
      <w:proofErr w:type="spellEnd"/>
      <w:r>
        <w:t xml:space="preserve"> Г. </w:t>
      </w:r>
      <w:proofErr w:type="spellStart"/>
      <w:proofErr w:type="gramStart"/>
      <w:r>
        <w:t>С.Красноярск</w:t>
      </w:r>
      <w:proofErr w:type="spellEnd"/>
      <w:r>
        <w:t xml:space="preserve"> :</w:t>
      </w:r>
      <w:proofErr w:type="gramEnd"/>
      <w:r>
        <w:t xml:space="preserve"> СФУ, 2018. — 250 с. — Книга из коллекции СФУ - Инженерно-технич</w:t>
      </w:r>
      <w:r>
        <w:t xml:space="preserve">еские </w:t>
      </w:r>
      <w:proofErr w:type="gramStart"/>
      <w:r>
        <w:t>науки..</w:t>
      </w:r>
      <w:proofErr w:type="gramEnd"/>
      <w:r>
        <w:t xml:space="preserve"> – URL: https://e.lanbook.com/book/157545</w:t>
      </w:r>
    </w:p>
    <w:p w:rsidR="00481163" w:rsidRDefault="00402F18">
      <w:pPr>
        <w:pStyle w:val="a2"/>
        <w:jc w:val="both"/>
      </w:pPr>
      <w:proofErr w:type="spellStart"/>
      <w:r>
        <w:t>Можарин</w:t>
      </w:r>
      <w:proofErr w:type="spellEnd"/>
      <w:r>
        <w:t xml:space="preserve">, В. П. Подручный </w:t>
      </w:r>
      <w:proofErr w:type="gramStart"/>
      <w:r>
        <w:t>сталевара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Томский политехнический университет (ТПУ) ; </w:t>
      </w:r>
      <w:proofErr w:type="spellStart"/>
      <w:r>
        <w:t>Юргинский</w:t>
      </w:r>
      <w:proofErr w:type="spellEnd"/>
      <w:r>
        <w:t xml:space="preserve"> технологический институт (филиал)Томск : Изд-во ТПУ, 2008. — 155 </w:t>
      </w:r>
      <w:proofErr w:type="gramStart"/>
      <w:r>
        <w:t>с. :</w:t>
      </w:r>
      <w:proofErr w:type="gramEnd"/>
      <w:r>
        <w:t xml:space="preserve"> ил.. –</w:t>
      </w:r>
    </w:p>
    <w:p w:rsidR="00481163" w:rsidRDefault="00402F18">
      <w:pPr>
        <w:pStyle w:val="a2"/>
        <w:jc w:val="both"/>
      </w:pPr>
      <w:proofErr w:type="spellStart"/>
      <w:r>
        <w:t>Можарин</w:t>
      </w:r>
      <w:proofErr w:type="spellEnd"/>
      <w:r>
        <w:t xml:space="preserve">, В. П. Разливщик </w:t>
      </w:r>
      <w:proofErr w:type="gramStart"/>
      <w:r>
        <w:t>стали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Томский политехнический университет (ТПУ), </w:t>
      </w:r>
      <w:proofErr w:type="spellStart"/>
      <w:r>
        <w:t>Юргинский</w:t>
      </w:r>
      <w:proofErr w:type="spellEnd"/>
      <w:r>
        <w:t xml:space="preserve"> технологический </w:t>
      </w:r>
      <w:proofErr w:type="spellStart"/>
      <w:r>
        <w:t>институтТомск</w:t>
      </w:r>
      <w:proofErr w:type="spellEnd"/>
      <w:r>
        <w:t xml:space="preserve"> : Изд-во ТПУ, 2008. — 170 </w:t>
      </w:r>
      <w:proofErr w:type="gramStart"/>
      <w:r>
        <w:t>с. :</w:t>
      </w:r>
      <w:proofErr w:type="gramEnd"/>
      <w:r>
        <w:t xml:space="preserve"> ил.. –</w:t>
      </w:r>
    </w:p>
    <w:p w:rsidR="00481163" w:rsidRDefault="00402F18">
      <w:pPr>
        <w:pStyle w:val="a2"/>
        <w:jc w:val="both"/>
      </w:pPr>
      <w:r>
        <w:t xml:space="preserve">СТП ТПУ № 2.0.01-2005 </w:t>
      </w:r>
      <w:proofErr w:type="gramStart"/>
      <w:r>
        <w:t>RU ,</w:t>
      </w:r>
      <w:proofErr w:type="gramEnd"/>
      <w:r>
        <w:t xml:space="preserve"> . Стандарт предприятия. Система образова</w:t>
      </w:r>
      <w:r>
        <w:t xml:space="preserve">тельных стандартов. Общие </w:t>
      </w:r>
      <w:proofErr w:type="gramStart"/>
      <w:r>
        <w:t>положения :</w:t>
      </w:r>
      <w:proofErr w:type="gramEnd"/>
      <w:r>
        <w:t xml:space="preserve"> стандарт ТПУ СТП ТПУ 2.0.01-20058 с. — 8 с. — (Стандарт предприятия). — Взамен СТП ТПУ 2.0.01-</w:t>
      </w:r>
      <w:proofErr w:type="gramStart"/>
      <w:r>
        <w:t>99..</w:t>
      </w:r>
      <w:proofErr w:type="gramEnd"/>
      <w:r>
        <w:t xml:space="preserve"> –</w:t>
      </w:r>
    </w:p>
    <w:p w:rsidR="00481163" w:rsidRDefault="00402F18">
      <w:pPr>
        <w:pStyle w:val="2"/>
        <w:suppressAutoHyphens/>
      </w:pPr>
      <w:r>
        <w:t>Информационное и программное обеспечение</w:t>
      </w:r>
    </w:p>
    <w:p w:rsidR="00481163" w:rsidRDefault="00402F18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</w:t>
      </w:r>
      <w:r>
        <w:rPr>
          <w:rFonts w:eastAsia="Cambria"/>
        </w:rPr>
        <w:t>чные ресурсы):</w:t>
      </w:r>
    </w:p>
    <w:p w:rsidR="00481163" w:rsidRDefault="00481163">
      <w:pPr>
        <w:pStyle w:val="afff0"/>
        <w:suppressAutoHyphens/>
      </w:pPr>
    </w:p>
    <w:p w:rsidR="00481163" w:rsidRDefault="00402F1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481163" w:rsidRDefault="00481163">
      <w:pPr>
        <w:pStyle w:val="afff0"/>
        <w:suppressAutoHyphens/>
        <w:rPr>
          <w:rFonts w:eastAsia="Cambria"/>
        </w:rPr>
      </w:pPr>
    </w:p>
    <w:p w:rsidR="00481163" w:rsidRDefault="00402F18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</w:t>
      </w:r>
      <w:r>
        <w:rPr>
          <w:rFonts w:eastAsia="Cambria"/>
          <w:b/>
        </w:rPr>
        <w:t>ечнем лицензионного программного обеспечения ТПУ)</w:t>
      </w:r>
      <w:r>
        <w:rPr>
          <w:rFonts w:eastAsia="Cambria"/>
        </w:rPr>
        <w:t>:</w:t>
      </w:r>
    </w:p>
    <w:p w:rsidR="00481163" w:rsidRDefault="00402F18">
      <w:pPr>
        <w:pStyle w:val="a4"/>
        <w:suppressAutoHyphens/>
        <w:jc w:val="both"/>
      </w:pPr>
      <w:r>
        <w:t>Kaspersky Endpoint Security.</w:t>
      </w:r>
    </w:p>
    <w:p w:rsidR="00C83C8F" w:rsidRDefault="00C83C8F" w:rsidP="00C83C8F">
      <w:pPr>
        <w:pStyle w:val="a4"/>
      </w:pPr>
      <w:bookmarkStart w:id="3" w:name="_GoBack"/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  <w:r>
        <w:t>,</w:t>
      </w:r>
    </w:p>
    <w:p w:rsidR="00C83C8F" w:rsidRDefault="00C83C8F" w:rsidP="00C83C8F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  <w:r>
        <w:t>,</w:t>
      </w:r>
    </w:p>
    <w:p w:rsidR="00C83C8F" w:rsidRDefault="00C83C8F" w:rsidP="00C83C8F">
      <w:pPr>
        <w:pStyle w:val="a4"/>
      </w:pPr>
      <w:r>
        <w:t>Libre Office,</w:t>
      </w:r>
    </w:p>
    <w:p w:rsidR="00C83C8F" w:rsidRDefault="00C83C8F" w:rsidP="00C83C8F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>,</w:t>
      </w:r>
    </w:p>
    <w:p w:rsidR="00C83C8F" w:rsidRDefault="00C83C8F" w:rsidP="00C83C8F">
      <w:pPr>
        <w:pStyle w:val="a4"/>
      </w:pPr>
      <w:r>
        <w:t>Adobe Reader,</w:t>
      </w:r>
    </w:p>
    <w:p w:rsidR="00C83C8F" w:rsidRDefault="00C83C8F" w:rsidP="00C83C8F">
      <w:pPr>
        <w:pStyle w:val="a4"/>
      </w:pPr>
      <w:r>
        <w:t>T-Flex,</w:t>
      </w:r>
    </w:p>
    <w:p w:rsidR="00C83C8F" w:rsidRDefault="00C83C8F" w:rsidP="00C83C8F">
      <w:pPr>
        <w:pStyle w:val="a4"/>
      </w:pPr>
      <w:proofErr w:type="spellStart"/>
      <w:r>
        <w:t>Компас</w:t>
      </w:r>
      <w:proofErr w:type="spellEnd"/>
      <w:r>
        <w:t>- 3D</w:t>
      </w:r>
      <w:r>
        <w:rPr>
          <w:lang w:val="ru-RU"/>
        </w:rPr>
        <w:t>.</w:t>
      </w:r>
    </w:p>
    <w:bookmarkEnd w:id="3"/>
    <w:p w:rsidR="00481163" w:rsidRDefault="00402F18">
      <w:pPr>
        <w:pStyle w:val="1"/>
        <w:suppressAutoHyphens/>
      </w:pPr>
      <w:r>
        <w:lastRenderedPageBreak/>
        <w:t>Описание материально-технической базы, необходимой</w:t>
      </w:r>
      <w:r>
        <w:br/>
        <w:t>для проведения практики</w:t>
      </w:r>
    </w:p>
    <w:p w:rsidR="00481163" w:rsidRDefault="00402F18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481163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81163" w:rsidRDefault="00402F18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81163" w:rsidRDefault="00402F18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eastAsia="Calibri"/>
                <w:b/>
                <w:sz w:val="22"/>
                <w:szCs w:val="22"/>
              </w:rPr>
              <w:t>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81163" w:rsidRDefault="00402F18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</w:t>
            </w:r>
            <w:r>
              <w:rPr>
                <w:rFonts w:eastAsia="Calibri"/>
                <w:sz w:val="22"/>
                <w:szCs w:val="22"/>
              </w:rPr>
              <w:t>рия 31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8F" w:rsidRPr="00C83C8F" w:rsidRDefault="00C83C8F" w:rsidP="00C83C8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C83C8F">
              <w:rPr>
                <w:rFonts w:eastAsia="Calibri"/>
                <w:sz w:val="22"/>
                <w:szCs w:val="22"/>
              </w:rPr>
              <w:t>Доска аудиторная настенная– 1 шт., компьютер</w:t>
            </w:r>
          </w:p>
          <w:p w:rsidR="00C83C8F" w:rsidRPr="00C83C8F" w:rsidRDefault="00C83C8F" w:rsidP="00C83C8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C83C8F">
              <w:rPr>
                <w:rFonts w:eastAsia="Calibri"/>
                <w:sz w:val="22"/>
                <w:szCs w:val="22"/>
              </w:rPr>
              <w:t>– 1 шт., проектор – 1шт., комплект учебной мебели на 36 посадочных мест, экран – 1 шт., стол,</w:t>
            </w:r>
          </w:p>
          <w:p w:rsidR="00481163" w:rsidRDefault="00C83C8F" w:rsidP="00C83C8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C83C8F">
              <w:rPr>
                <w:rFonts w:eastAsia="Calibri"/>
                <w:sz w:val="22"/>
                <w:szCs w:val="22"/>
              </w:rPr>
              <w:t>стул преподавателя – 1 шт.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 РФ, Кемеровская обл.,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г.Юрга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ул.Московская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Зонд погружаемый высокотемпературный L=1500мм ЗПГВ (1 шт.); Печь лабораторная шахтная (1 шт.); Печь муфельная ЭКПС-50 (1 шт.); Пила монтажная абразивная 355*25,4 "</w:t>
            </w:r>
            <w:proofErr w:type="spellStart"/>
            <w:r>
              <w:rPr>
                <w:rFonts w:eastAsia="Calibri"/>
                <w:sz w:val="22"/>
                <w:szCs w:val="22"/>
              </w:rPr>
              <w:t>Maki</w:t>
            </w:r>
            <w:r>
              <w:rPr>
                <w:rFonts w:eastAsia="Calibri"/>
                <w:sz w:val="22"/>
                <w:szCs w:val="22"/>
              </w:rPr>
              <w:t>ta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" (1 шт.); Смеситель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катковый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(бегуны) (1 шт.); Шкаф вытяжной ШВ-1500 (1 шт.); Шкаф вытяжной металлический в полимере (1 шт.); Электропечь лаб. </w:t>
            </w:r>
            <w:proofErr w:type="spellStart"/>
            <w:r>
              <w:rPr>
                <w:rFonts w:eastAsia="Calibri"/>
                <w:sz w:val="22"/>
                <w:szCs w:val="22"/>
              </w:rPr>
              <w:t>электр</w:t>
            </w:r>
            <w:proofErr w:type="spellEnd"/>
            <w:r>
              <w:rPr>
                <w:rFonts w:eastAsia="Calibri"/>
                <w:sz w:val="22"/>
                <w:szCs w:val="22"/>
              </w:rPr>
              <w:t>. СНОЛ 67/350 (1 шт.).</w:t>
            </w:r>
          </w:p>
          <w:p w:rsidR="00481163" w:rsidRDefault="0048116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</w:t>
            </w:r>
            <w:r>
              <w:rPr>
                <w:rFonts w:eastAsia="Calibri"/>
                <w:sz w:val="22"/>
                <w:szCs w:val="22"/>
              </w:rPr>
              <w:t>я, консультаций, текущего контроля и промежуточной аттестации (учебная лаборатория)</w:t>
            </w:r>
          </w:p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Pr="00C83C8F" w:rsidRDefault="00C83C8F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C83C8F">
              <w:rPr>
                <w:sz w:val="22"/>
                <w:szCs w:val="22"/>
              </w:rPr>
              <w:t xml:space="preserve">Экран на штативе – 1 шт., ноутбук – 1шт., комплект учебной мебели на 18 посадочных мест, стол, стул преподавателя – 1 шт., набор сит, сосуды для хранения проб, постоянный магнит - 1 шт., </w:t>
            </w:r>
            <w:proofErr w:type="spellStart"/>
            <w:r w:rsidRPr="00C83C8F">
              <w:rPr>
                <w:sz w:val="22"/>
                <w:szCs w:val="22"/>
              </w:rPr>
              <w:t>магнитопропускающий</w:t>
            </w:r>
            <w:proofErr w:type="spellEnd"/>
            <w:r w:rsidRPr="00C83C8F">
              <w:rPr>
                <w:sz w:val="22"/>
                <w:szCs w:val="22"/>
              </w:rPr>
              <w:t xml:space="preserve"> листовой материал, емкости для сбора продуктов, электронные весы 1 шт. 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481163" w:rsidRDefault="00402F1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</w:t>
            </w:r>
            <w:r>
              <w:rPr>
                <w:rFonts w:eastAsia="Calibri"/>
                <w:sz w:val="22"/>
                <w:szCs w:val="22"/>
              </w:rPr>
              <w:t xml:space="preserve">лект учебной мебели на 8 посадочных мест. 3D сканер </w:t>
            </w:r>
            <w:proofErr w:type="spellStart"/>
            <w:r>
              <w:rPr>
                <w:rFonts w:eastAsia="Calibri"/>
                <w:sz w:val="22"/>
                <w:szCs w:val="22"/>
              </w:rPr>
              <w:t>Artec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Eva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шт.); 3D-принтер </w:t>
            </w:r>
            <w:proofErr w:type="spellStart"/>
            <w:r>
              <w:rPr>
                <w:rFonts w:eastAsia="Calibri"/>
                <w:sz w:val="22"/>
                <w:szCs w:val="22"/>
              </w:rPr>
              <w:t>Picaso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Builder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(1 шт.); Аппарат </w:t>
            </w:r>
            <w:proofErr w:type="spellStart"/>
            <w:r>
              <w:rPr>
                <w:rFonts w:eastAsia="Calibri"/>
                <w:sz w:val="22"/>
                <w:szCs w:val="22"/>
              </w:rPr>
              <w:t>мультишлифовальный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Dremel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3000 (1 шт.); Вакуумный насос 2НВР-5ДМ (1 шт.); </w:t>
            </w:r>
            <w:proofErr w:type="spellStart"/>
            <w:r>
              <w:rPr>
                <w:rFonts w:eastAsia="Calibri"/>
                <w:sz w:val="22"/>
                <w:szCs w:val="22"/>
              </w:rPr>
              <w:t>Иттербиевый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волоконный лазер ЛК-100-В (1 шт.); Машина руч.шлиф.пневм</w:t>
            </w:r>
            <w:r>
              <w:rPr>
                <w:rFonts w:eastAsia="Calibri"/>
                <w:sz w:val="22"/>
                <w:szCs w:val="22"/>
              </w:rPr>
              <w:t xml:space="preserve">атич.радиальн.МП-011(цанг) (1 шт.); Отрезной станок Q-2A (1 шт.); Пирометр </w:t>
            </w:r>
            <w:proofErr w:type="spellStart"/>
            <w:r>
              <w:rPr>
                <w:rFonts w:eastAsia="Calibri"/>
                <w:sz w:val="22"/>
                <w:szCs w:val="22"/>
              </w:rPr>
              <w:t>Testo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830-T1(0560-8311) (2 шт.); Рабочий металлографический микроскоп ЛабоМет-1 (4 шт.); Система 3D прототипирования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Stratasys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Dimension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SST 1200es 3D (1 шт.); Твердомер переносной </w:t>
            </w:r>
            <w:r>
              <w:rPr>
                <w:rFonts w:eastAsia="Calibri"/>
                <w:sz w:val="22"/>
                <w:szCs w:val="22"/>
              </w:rPr>
              <w:t xml:space="preserve">ТЭМП-4 (1 шт.); Ультразвуковой увлажнитель воздуха </w:t>
            </w:r>
            <w:proofErr w:type="spellStart"/>
            <w:r>
              <w:rPr>
                <w:rFonts w:eastAsia="Calibri"/>
                <w:sz w:val="22"/>
                <w:szCs w:val="22"/>
              </w:rPr>
              <w:t>Air</w:t>
            </w:r>
            <w:proofErr w:type="spellEnd"/>
            <w:r>
              <w:rPr>
                <w:rFonts w:eastAsia="Calibri"/>
                <w:sz w:val="22"/>
                <w:szCs w:val="22"/>
              </w:rPr>
              <w:t>-O-</w:t>
            </w:r>
            <w:proofErr w:type="spellStart"/>
            <w:r>
              <w:rPr>
                <w:rFonts w:eastAsia="Calibri"/>
                <w:sz w:val="22"/>
                <w:szCs w:val="22"/>
              </w:rPr>
              <w:t>Swiss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U650 (1 шт.); </w:t>
            </w:r>
            <w:proofErr w:type="spellStart"/>
            <w:r>
              <w:rPr>
                <w:rFonts w:eastAsia="Calibri"/>
                <w:sz w:val="22"/>
                <w:szCs w:val="22"/>
              </w:rPr>
              <w:t>Электро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точило ЭТ-200/450 Вт 2950 об/мин 200мм "</w:t>
            </w:r>
            <w:proofErr w:type="spellStart"/>
            <w:r>
              <w:rPr>
                <w:rFonts w:eastAsia="Calibri"/>
                <w:sz w:val="22"/>
                <w:szCs w:val="22"/>
              </w:rPr>
              <w:t>Диолд</w:t>
            </w:r>
            <w:proofErr w:type="spellEnd"/>
            <w:r>
              <w:rPr>
                <w:rFonts w:eastAsia="Calibri"/>
                <w:sz w:val="22"/>
                <w:szCs w:val="22"/>
              </w:rPr>
              <w:t>" (1 шт.).</w:t>
            </w:r>
          </w:p>
          <w:p w:rsidR="00481163" w:rsidRDefault="00481163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481163" w:rsidRDefault="00481163">
      <w:pPr>
        <w:pStyle w:val="afff0"/>
        <w:suppressAutoHyphens/>
      </w:pPr>
    </w:p>
    <w:p w:rsidR="00481163" w:rsidRDefault="00402F18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</w:t>
      </w:r>
      <w:r>
        <w:t>материально-техническое обеспечение должно обеспечивать формирование необходимых результатов обучения по программе.</w:t>
      </w:r>
    </w:p>
    <w:p w:rsidR="00481163" w:rsidRDefault="00481163">
      <w:pPr>
        <w:pStyle w:val="afff0"/>
        <w:suppressAutoHyphens/>
      </w:pPr>
    </w:p>
    <w:p w:rsidR="00481163" w:rsidRDefault="00402F18">
      <w:pPr>
        <w:pStyle w:val="afff2"/>
        <w:suppressAutoHyphens/>
      </w:pPr>
      <w:r>
        <w:lastRenderedPageBreak/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481163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81163" w:rsidRDefault="00402F1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81163" w:rsidRDefault="00402F1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Наименование предприятия </w:t>
            </w:r>
            <w:r>
              <w:rPr>
                <w:rFonts w:eastAsia="Calibri"/>
                <w:b/>
                <w:sz w:val="22"/>
                <w:szCs w:val="22"/>
              </w:rPr>
              <w:t>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81163" w:rsidRDefault="00402F1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481163" w:rsidRDefault="00402F1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«Дальневосточный завод «Звезда» (АО «ДВЗ «Звезда»), г. Большой Камень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19-д/общ/2</w:t>
            </w:r>
            <w:r>
              <w:rPr>
                <w:sz w:val="22"/>
                <w:szCs w:val="22"/>
              </w:rPr>
              <w:t>1 от 22.01.2021 г. Срок действия договора – 22.01.2026 г.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«Северсталь», г. Череповец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 45-д/общ/19 от 18.04.2019 г. Срок действия договора – 23.04.2024 г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>», г. Набережные Челны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 39-д/общ/19 от 11.04.2019 г. Срок действия договора – 31.12.2024 г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«Чепецкий механический завод», г. Глазов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 практической подготовке обучающихся № 22-д/ </w:t>
            </w:r>
            <w:proofErr w:type="gramStart"/>
            <w:r>
              <w:rPr>
                <w:sz w:val="22"/>
                <w:szCs w:val="22"/>
              </w:rPr>
              <w:t>общ./</w:t>
            </w:r>
            <w:proofErr w:type="gramEnd"/>
            <w:r>
              <w:rPr>
                <w:sz w:val="22"/>
                <w:szCs w:val="22"/>
              </w:rPr>
              <w:t>21 от 19.02.2021 г. Срок действия д</w:t>
            </w:r>
            <w:r>
              <w:rPr>
                <w:sz w:val="22"/>
                <w:szCs w:val="22"/>
              </w:rPr>
              <w:t>оговора – бессрочно.</w:t>
            </w:r>
          </w:p>
        </w:tc>
      </w:tr>
      <w:tr w:rsidR="00481163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«Томский электротехнический завод» (АО «ТЭТЗ»), г. Томск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3" w:rsidRDefault="00402F18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 50-д/общ/19 от 17.05.2019 г. Срок действия договора – 01.05.2024 г</w:t>
            </w:r>
          </w:p>
        </w:tc>
      </w:tr>
    </w:tbl>
    <w:p w:rsidR="00481163" w:rsidRDefault="00481163">
      <w:pPr>
        <w:pStyle w:val="afff0"/>
        <w:suppressAutoHyphens/>
      </w:pPr>
    </w:p>
    <w:p w:rsidR="00481163" w:rsidRDefault="00402F18">
      <w:pPr>
        <w:pStyle w:val="afff0"/>
        <w:suppressAutoHyphens/>
      </w:pPr>
      <w:r>
        <w:t>Рабочая программа составлена на основе Общей характерис</w:t>
      </w:r>
      <w:r>
        <w:t>тики основной профессиональной образовательной программы «Инженерия стали и сплавов» по направлению 22.03.02 Металлургия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481163" w:rsidRDefault="00481163">
      <w:pPr>
        <w:pStyle w:val="afff0"/>
        <w:suppressAutoHyphens/>
      </w:pPr>
    </w:p>
    <w:p w:rsidR="00481163" w:rsidRDefault="00402F18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1163">
        <w:tc>
          <w:tcPr>
            <w:tcW w:w="3213" w:type="dxa"/>
            <w:shd w:val="clear" w:color="auto" w:fill="F2F2F2"/>
            <w:vAlign w:val="center"/>
          </w:tcPr>
          <w:p w:rsidR="00481163" w:rsidRDefault="00402F18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481163" w:rsidRDefault="00402F18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481163" w:rsidRDefault="00402F18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481163">
        <w:tc>
          <w:tcPr>
            <w:tcW w:w="3213" w:type="dxa"/>
          </w:tcPr>
          <w:p w:rsidR="00481163" w:rsidRDefault="00402F1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Старший преподаватель</w:t>
            </w:r>
          </w:p>
        </w:tc>
        <w:tc>
          <w:tcPr>
            <w:tcW w:w="3213" w:type="dxa"/>
          </w:tcPr>
          <w:p w:rsidR="00481163" w:rsidRDefault="00481163"/>
        </w:tc>
        <w:tc>
          <w:tcPr>
            <w:tcW w:w="3213" w:type="dxa"/>
          </w:tcPr>
          <w:p w:rsidR="00481163" w:rsidRDefault="00402F1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П. Родзевич</w:t>
            </w:r>
          </w:p>
        </w:tc>
      </w:tr>
      <w:tr w:rsidR="00481163">
        <w:tc>
          <w:tcPr>
            <w:tcW w:w="3213" w:type="dxa"/>
          </w:tcPr>
          <w:p w:rsidR="00481163" w:rsidRDefault="00402F1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481163" w:rsidRDefault="00481163"/>
        </w:tc>
        <w:tc>
          <w:tcPr>
            <w:tcW w:w="3213" w:type="dxa"/>
          </w:tcPr>
          <w:p w:rsidR="00481163" w:rsidRDefault="00402F18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А. А. </w:t>
            </w:r>
            <w:r>
              <w:t>Сапрыкин</w:t>
            </w:r>
          </w:p>
        </w:tc>
      </w:tr>
    </w:tbl>
    <w:p w:rsidR="00481163" w:rsidRDefault="00481163">
      <w:pPr>
        <w:pStyle w:val="afff3"/>
        <w:suppressAutoHyphens/>
      </w:pPr>
    </w:p>
    <w:p w:rsidR="00481163" w:rsidRDefault="00402F18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481163" w:rsidRDefault="00481163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481163">
        <w:tc>
          <w:tcPr>
            <w:tcW w:w="3544" w:type="dxa"/>
            <w:vAlign w:val="center"/>
          </w:tcPr>
          <w:p w:rsidR="00481163" w:rsidRDefault="00402F18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481163" w:rsidRDefault="00481163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481163" w:rsidRDefault="00402F18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481163" w:rsidRDefault="00481163">
      <w:pPr>
        <w:suppressAutoHyphens/>
        <w:jc w:val="both"/>
      </w:pPr>
    </w:p>
    <w:sectPr w:rsidR="00481163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F18" w:rsidRDefault="00402F18" w:rsidP="009A6764">
      <w:r>
        <w:separator/>
      </w:r>
    </w:p>
  </w:endnote>
  <w:endnote w:type="continuationSeparator" w:id="0">
    <w:p w:rsidR="00402F18" w:rsidRDefault="00402F18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63" w:rsidRDefault="00402F18">
    <w:pPr>
      <w:pStyle w:val="ad"/>
      <w:jc w:val="center"/>
    </w:pPr>
    <w:r>
      <w:t>2024 г.</w:t>
    </w:r>
  </w:p>
  <w:p w:rsidR="00481163" w:rsidRDefault="00481163">
    <w:pPr>
      <w:pStyle w:val="ad"/>
      <w:jc w:val="center"/>
    </w:pPr>
  </w:p>
  <w:p w:rsidR="00481163" w:rsidRDefault="00402F18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х видов работ преподавателей;</w:t>
    </w:r>
  </w:p>
  <w:p w:rsidR="00481163" w:rsidRDefault="00402F18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F18" w:rsidRDefault="00402F18">
      <w:r>
        <w:separator/>
      </w:r>
    </w:p>
  </w:footnote>
  <w:footnote w:type="continuationSeparator" w:id="0">
    <w:p w:rsidR="00402F18" w:rsidRDefault="0040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63" w:rsidRDefault="0048116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163" w:rsidRDefault="004811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1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163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C8F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5918C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F87F-F476-40C0-86B2-63278EBF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39</cp:revision>
  <cp:lastPrinted>2019-08-16T04:20:00Z</cp:lastPrinted>
  <dcterms:created xsi:type="dcterms:W3CDTF">2022-03-28T17:12:00Z</dcterms:created>
  <dcterms:modified xsi:type="dcterms:W3CDTF">2025-11-13T01:58:00Z</dcterms:modified>
</cp:coreProperties>
</file>