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ПРОИЗВОДСТВЕННОЙ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44 по 47 неделю 2026/2027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>6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>6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4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>216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1"/>
        <w:suppressAutoHyphens/>
      </w:pPr>
      <w:r>
        <w:t>Цели практики</w:t>
      </w:r>
    </w:p>
    <w:p w14:paraId="5C24CE4A" w14:textId="7777777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ffb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требований и проектирование программного обеспечения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 требований к программному обеспечению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проводить анализ исполнения требований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возможности современных и перспективных средств разработки программных продуктов, технических средств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вырабатывать варианты реализации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методы и средства проектирования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Проектирование программного обеспечения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и средствами проектирования баз данных, программных интерфейсов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проектировать архитектуру ПО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средства проектирования баз данных, программных интерфейсов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в специализированных ППП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тестировать результаты прототипирования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инструменты и методы модульного тестирования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настройкой СУБД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устанавливать СУБД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систем управления базами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принципами построения и программирования экспертных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Разработка концепции системы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способностью определять ключевые свойства и ограничения системы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разрабатывать технико- экономическое обоснование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концептуального проектирования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декомпозировать функции на подфункции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стандарты оформления технических заданий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алгоритмизировать деятельность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методы оценки качества программных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Владеет навыками инсталляции программного обеспечения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администрировать и использовать базы данных в среде выбранных целевых СУБД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Знает особенности администрирования БД в локальных и глобальных сетях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Владеет навыками моделирования прикладных задач методами дискретной математики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основные конструкции языка обработки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УК(У)-8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оказания первой помощи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современные методы формирования команды для удаленной работы над проектом</w:t>
            </w:r>
          </w:p>
        </w:tc>
      </w:tr>
    </w:tbl>
    <w:p w14:paraId="6DC09D80" w14:textId="77777777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производственная практика</w:t>
      </w:r>
    </w:p>
    <w:p w14:paraId="3C1F10C3" w14:textId="0423B0E0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эксплуатационная практика</w:t>
      </w:r>
    </w:p>
    <w:p w14:paraId="0ED2D6EB" w14:textId="4F93FA5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>
      <w:pPr>
        <w:pStyle w:val="a5"/>
        <w:suppressAutoHyphens/>
        <w:ind w:left="0" w:firstLine="720"/>
      </w:pPr>
      <w:r>
        <w:t>Стационарная;</w:t>
      </w:r>
    </w:p>
    <w:p w14:paraId="13BF635B" w14:textId="77777777">
      <w:pPr>
        <w:pStyle w:val="a5"/>
        <w:suppressAutoHyphens/>
        <w:ind w:left="0" w:firstLine="720"/>
      </w:pPr>
      <w:r>
        <w:t>Выездная.</w:t>
      </w:r>
    </w:p>
    <w:p w14:paraId="7FCF4BD1" w14:textId="55420BA7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5"/>
        <w:suppressAutoHyphens/>
        <w:ind w:left="0" w:firstLine="720"/>
      </w:pPr>
      <w:r>
        <w:t>Профильные организации;</w:t>
      </w:r>
    </w:p>
    <w:p w14:paraId="135B489F" w14:textId="7777777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ffb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ffb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использовать современные информационные технологии в экономике и управлении, как в рамках отдельного предприятия, так и в рамках корпорации, холдинга, государственных систем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опытом разработки технической документации; использования функциональных и технологических стандартов ИС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РП-5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Ставить задачу и разрабатывать алгоритм ее решения, использовать прикладные системы программирования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И.ОПК(У)-7.3</w:t>
            </w:r>
          </w:p>
        </w:tc>
      </w:tr>
    </w:tbl>
    <w:p w14:paraId="5AD0649D" w14:textId="77777777">
      <w:pPr>
        <w:pStyle w:val="1"/>
        <w:suppressAutoHyphens/>
      </w:pPr>
      <w:r>
        <w:t>Структура и содержание практики</w:t>
      </w:r>
    </w:p>
    <w:p w14:paraId="07B0B3AE" w14:textId="7777777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ffb"/>
            </w:pPr>
            <w:r>
              <w:t>№</w:t>
            </w:r>
          </w:p>
          <w:p w14:paraId="69CAC0BB" w14:textId="2AEA39B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ffb"/>
            </w:pPr>
            <w:r>
              <w:t xml:space="preserve">Этапы практики,</w:t>
            </w:r>
          </w:p>
          <w:p w14:paraId="0AA3B9E1" w14:textId="7777777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ffb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производственной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режимом работы, формой организации труда и правилами внутреннего распорядка, структурными подразделениями предприятия, штатным расписанием; с принципами управления, руководства и осуществления должностных обязанностей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прав и обязанностей сотрудника, должностной инструкции, регламентирующей его деятельность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новых технологических средств в экономических информационных системах, применяемых на предприятии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основных проектных решений по информационным системам на предприятии (в организации)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методов проектирования в области информатики при создании информационных технологий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языков программирования, современных пакетов прикладных программ при проектировании экономических информационных систем и их подсистем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2"/>
        <w:suppressAutoHyphens/>
      </w:pPr>
      <w:r>
        <w:t>Учебно-методическое обеспечение</w:t>
      </w:r>
    </w:p>
    <w:p w14:paraId="6F7DACE9" w14:textId="022E4D45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Заботина, Н.Н. Проектирование информационных систем : Учебное пособие / Ярославский государственный медицинский университет1. — Москва : ООО "Научно-издательский центр ИНФРА-М", 2022. — 331 с. — (Высшее образование: Бакалавриат). — ВО - Бакалавриат.. – URL: https://znanium.com/catalog/document?id=414276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Кугаевских, А.В. Проектирование информационных систем. Системная и бизнес-аналитика : Учебное пособие / Новосибирский государственный технический университетНовосибирск : Новосибирский государственный технический университет (НГТУ), 2018. — 256 с. — ВО - Бакалавриат.. – URL: https://znanium.com/catalog/document?id=397362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Шустова, Л.И. Базы данных : Учебник / Национальный исследовательский ядерный университет "МИФИ"1. — Москва : ООО "Научно-издательский центр ИНФРА-М", 2024. — 304 с. — (Среднее профессиональное образование). — Среднее профессиональное образование.. – URL: https://znanium.ru/catalog/document?id=446540</w:t>
      </w:r>
    </w:p>
    <w:p w14:paraId="08135D45" w14:textId="22A1E3E0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Тарасов, И. Е. Проектирование информационных систем управления ресурсами предприятия : учебное пособие / Тарасов И. Е.Москва : РТУ МИРЭА, 2024. — 103 с. — Книга из коллекции РТУ МИРЭА - Экономика и менеджмент.. – URL: https://e.lanbook.com/book/421118</w:t>
      </w:r>
    </w:p>
    <w:p w14:paraId="65437CDF" w14:textId="77777777">
      <w:pPr>
        <w:pStyle w:val="2"/>
        <w:suppressAutoHyphens/>
      </w:pPr>
      <w:r>
        <w:t xml:space="preserve">Информационное и программное обеспечение</w:t>
      </w:r>
    </w:p>
    <w:p w14:paraId="691A623B" w14:textId="71D3BCD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p w14:paraId="2265EB28" w14:textId="77777777">
      <w:pPr>
        <w:pStyle w:val="afff0"/>
        <w:suppressAutoHyphens/>
      </w:pPr>
    </w:p>
    <w:p w14:paraId="4BB1CEE6" w14:textId="7877AE4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fff0"/>
        <w:suppressAutoHyphens/>
        <w:rPr>
          <w:rFonts w:eastAsia="Cambria"/>
        </w:rPr>
      </w:pPr>
    </w:p>
    <w:p w14:paraId="47DBFB60" w14:textId="214BBB6D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F5542" w14:textId="77777777" w:rsidR="000A621D" w:rsidRDefault="000A621D" w:rsidP="009A6764">
      <w:r>
        <w:separator/>
      </w:r>
    </w:p>
  </w:endnote>
  <w:endnote w:type="continuationSeparator" w:id="0">
    <w:p w14:paraId="0BA4ADFB" w14:textId="77777777" w:rsidR="000A621D" w:rsidRDefault="000A621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37FA0" w14:textId="10750B54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0177" w14:textId="77777777">
      <w:r>
        <w:separator/>
      </w:r>
    </w:p>
  </w:footnote>
  <w:footnote w:type="continuationSeparator" w:id="0">
    <w:p w14:paraId="6F098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54B0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B5E5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30</cp:revision>
  <cp:lastPrinted>2019-08-16T04:20:00Z</cp:lastPrinted>
  <dcterms:created xsi:type="dcterms:W3CDTF">2022-01-25T17:21:00Z</dcterms:created>
  <dcterms:modified xsi:type="dcterms:W3CDTF">2024-11-20T15:25:00Z</dcterms:modified>
</cp:coreProperties>
</file>