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7C7654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7C7654" w:rsidRDefault="00CC48C1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7C7654" w:rsidRDefault="00CC48C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7654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7C7654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Технологическая (проектно-технологическая) практика</w:t>
            </w:r>
          </w:p>
        </w:tc>
      </w:tr>
      <w:tr w:rsidR="007C7654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20.03.01 Техносферная безопасность</w:t>
            </w: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</w:t>
            </w:r>
            <w:r>
              <w:rPr>
                <w:rFonts w:eastAsia="Times New Roman"/>
                <w:bCs/>
                <w:szCs w:val="24"/>
              </w:rPr>
              <w:t>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Защита в чрезвычайных ситуациях</w:t>
            </w: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</w:t>
            </w:r>
            <w:r w:rsidR="003F50CA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Ю. Луговцова</w:t>
            </w: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7654" w:rsidRDefault="007C7654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Н.</w:t>
            </w:r>
            <w:r w:rsidR="003F50CA">
              <w:t xml:space="preserve"> </w:t>
            </w:r>
            <w:r>
              <w:t>Ю. Луговцова</w:t>
            </w:r>
          </w:p>
        </w:tc>
      </w:tr>
      <w:tr w:rsidR="007C765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7654" w:rsidRDefault="007C7654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П.</w:t>
            </w:r>
            <w:r w:rsidR="003F50CA">
              <w:t xml:space="preserve"> </w:t>
            </w:r>
            <w:bookmarkStart w:id="0" w:name="_GoBack"/>
            <w:bookmarkEnd w:id="0"/>
            <w:r>
              <w:t>В. Родионов</w:t>
            </w:r>
          </w:p>
        </w:tc>
      </w:tr>
    </w:tbl>
    <w:p w:rsidR="007C7654" w:rsidRDefault="007C7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7C7654" w:rsidRDefault="007C7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7C7654" w:rsidRDefault="007C7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7C7654" w:rsidRDefault="007C765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7C7654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7654" w:rsidRDefault="00CC48C1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7C7654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7C7654" w:rsidRDefault="00CC48C1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Составляющие результа</w:t>
            </w:r>
            <w:r>
              <w:t>тов освоения (дескрипторы компетенций)</w:t>
            </w:r>
          </w:p>
        </w:tc>
      </w:tr>
      <w:tr w:rsidR="007C7654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7C7654" w:rsidRDefault="007C7654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7C7654" w:rsidRDefault="007C7654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7C7654" w:rsidRDefault="007C7654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7C7654" w:rsidRDefault="007C7654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Наименование</w:t>
            </w:r>
          </w:p>
        </w:tc>
      </w:tr>
      <w:tr w:rsidR="007C7654">
        <w:trPr>
          <w:trHeight w:val="347"/>
        </w:trPr>
        <w:tc>
          <w:tcPr>
            <w:tcW w:w="2053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Технологическая (проектно-технологическая) практика</w:t>
            </w:r>
          </w:p>
        </w:tc>
        <w:tc>
          <w:tcPr>
            <w:tcW w:w="810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1233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</w:t>
            </w:r>
          </w:p>
        </w:tc>
        <w:tc>
          <w:tcPr>
            <w:tcW w:w="2283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планировать и документально оформлять природоохранную деятельность организации и деятельность в сфере безопасности</w:t>
            </w:r>
          </w:p>
        </w:tc>
        <w:tc>
          <w:tcPr>
            <w:tcW w:w="1276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1.4</w:t>
            </w:r>
          </w:p>
        </w:tc>
        <w:tc>
          <w:tcPr>
            <w:tcW w:w="2551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деятельность по организации и проведению различных видов контроля в области техносферной безопасности</w:t>
            </w: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</w:t>
            </w:r>
            <w:r>
              <w:rPr>
                <w:rFonts w:eastAsia="Times New Roman"/>
                <w:sz w:val="20"/>
              </w:rPr>
              <w:t>)-1.4В1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разработки планов-графиков производственного контроля в организации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У)-1.4У1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выявлять нормируемые параметры и характеристики при осуществлении производственного контроля в организации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У)-1.4З1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порядок проведения производственного экологического контроля в соответствии с требованиями нормативных правовых актов в области охраны окружающей среды и техносферной безопасности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обеспечивать функционирование системы управления охраной труда в организации</w:t>
            </w:r>
          </w:p>
        </w:tc>
        <w:tc>
          <w:tcPr>
            <w:tcW w:w="1276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нормативное обеспечение безопасных условий и охраны труда</w:t>
            </w: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У)-2.1В1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основами трудового законодательства РФ и законодательства РФ в области охраны труда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У)-2.1У1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У)-2.1З1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организовать подготовку работников в области охраны труда</w:t>
            </w: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У)-2.2В1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оценки состояния безопасности на производстве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У)-2.2У1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нормативными правовыми актами при осуществлении надзора и контроля в сфере безопасности, правильно оценить соответствие или несоответствие фактического состояния безопасности на рабочем месте или в организации нормативным требованиям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У)-2.2З1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требования к порядку </w:t>
            </w:r>
            <w:proofErr w:type="gramStart"/>
            <w:r>
              <w:rPr>
                <w:rFonts w:eastAsia="Times New Roman"/>
                <w:sz w:val="20"/>
              </w:rPr>
              <w:t>обучения по охране</w:t>
            </w:r>
            <w:proofErr w:type="gramEnd"/>
            <w:r>
              <w:rPr>
                <w:rFonts w:eastAsia="Times New Roman"/>
                <w:sz w:val="20"/>
              </w:rPr>
              <w:t xml:space="preserve"> труда и проверке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2.3</w:t>
            </w:r>
          </w:p>
        </w:tc>
        <w:tc>
          <w:tcPr>
            <w:tcW w:w="2551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Содействует обеспечению функционирования системы управления охраной труда</w:t>
            </w: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У)-2.3В1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принципами управления охраной труда на предприятии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У)-2.3У1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законодательной и нормативной документацией по вопросам управления техносферной безопасностью, производить инструментальную оценку уровней вредных и опасных факторов производственной среды и среды обитания, степень напряженности и тяжест</w:t>
            </w:r>
            <w:r>
              <w:rPr>
                <w:rFonts w:eastAsia="Times New Roman"/>
                <w:sz w:val="20"/>
              </w:rPr>
              <w:t xml:space="preserve">и труда (деятельности); производить оценку и анализ рисков технологических процессов и производств, а также других видов </w:t>
            </w:r>
            <w:r>
              <w:rPr>
                <w:rFonts w:eastAsia="Times New Roman"/>
                <w:sz w:val="20"/>
              </w:rPr>
              <w:lastRenderedPageBreak/>
              <w:t>деятельности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У)-2.3З1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организации управления охраной труда и безопасностью труда на предприятиях, в учреждениях и муниципальных образованиях; принципов управления, функций управления, задач управления и механизмов их решения в системе управления охраной труда в тех</w:t>
            </w:r>
            <w:r>
              <w:rPr>
                <w:rFonts w:eastAsia="Times New Roman"/>
                <w:sz w:val="20"/>
              </w:rPr>
              <w:t>носфере; методов организации информационных потоков в области управления безопасностью труда в техносфере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</w:t>
            </w:r>
          </w:p>
        </w:tc>
        <w:tc>
          <w:tcPr>
            <w:tcW w:w="2283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разрабатывать и контролировать выполнение мероприятий по противопожарной защите объекта</w:t>
            </w:r>
          </w:p>
        </w:tc>
        <w:tc>
          <w:tcPr>
            <w:tcW w:w="1276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tcW w:w="2551" w:type="dxa"/>
            <w:vMerge w:val="restart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Анализирует и контролирует наличие </w:t>
            </w:r>
            <w:proofErr w:type="gramStart"/>
            <w:r>
              <w:rPr>
                <w:sz w:val="20"/>
              </w:rPr>
              <w:t>системы обеспечения пожарной безопасности объекта защиты</w:t>
            </w:r>
            <w:proofErr w:type="gramEnd"/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У)-6.1В2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с системами безопасности и приборами контроля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У)-6.1В1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принципами поиска нормативно-технической документации в области охраны труда и пожарной безопасности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У)-6.1У2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 деятельности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У)-6.1У1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планировать организационно-технические мероприятия по устранению причин возгорания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У)-6.1З2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требования пожарной безопасности с учетом специфики объекта защиты, </w:t>
            </w:r>
            <w:r>
              <w:rPr>
                <w:rFonts w:eastAsia="Times New Roman"/>
                <w:sz w:val="20"/>
              </w:rPr>
              <w:lastRenderedPageBreak/>
              <w:t>методы оценки и расчета параметров возможных пожаров и рисков</w:t>
            </w:r>
          </w:p>
        </w:tc>
      </w:tr>
      <w:tr w:rsidR="007C7654">
        <w:trPr>
          <w:trHeight w:val="347"/>
        </w:trPr>
        <w:tc>
          <w:tcPr>
            <w:tcW w:w="205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У)-6.1З1</w:t>
            </w:r>
          </w:p>
        </w:tc>
        <w:tc>
          <w:tcPr>
            <w:tcW w:w="2976" w:type="dxa"/>
            <w:vAlign w:val="center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требования пожарной безопасности с учетом специфики объекта защиты, опасные факторы пожара и средства пожаротушения, используемые на объекте защиты</w:t>
            </w:r>
          </w:p>
        </w:tc>
      </w:tr>
    </w:tbl>
    <w:p w:rsidR="007C7654" w:rsidRDefault="00CC48C1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7C7654">
        <w:tc>
          <w:tcPr>
            <w:tcW w:w="6145" w:type="dxa"/>
            <w:gridSpan w:val="2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 xml:space="preserve">Планируемые результаты обучения при прохождении </w:t>
            </w:r>
            <w:r>
              <w:t>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 xml:space="preserve">Наименование </w:t>
            </w:r>
          </w:p>
          <w:p w:rsidR="007C7654" w:rsidRDefault="00CC48C1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Методы оценивания</w:t>
            </w:r>
          </w:p>
          <w:p w:rsidR="007C7654" w:rsidRDefault="00CC48C1">
            <w:pPr>
              <w:pStyle w:val="aff7"/>
            </w:pPr>
            <w:r>
              <w:t>(оценочные мероприятия)</w:t>
            </w:r>
          </w:p>
        </w:tc>
      </w:tr>
      <w:tr w:rsidR="007C7654">
        <w:tc>
          <w:tcPr>
            <w:tcW w:w="947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C7654">
        <w:trPr>
          <w:trHeight w:val="412"/>
        </w:trPr>
        <w:tc>
          <w:tcPr>
            <w:tcW w:w="947" w:type="dxa"/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предприятии.</w:t>
            </w:r>
          </w:p>
        </w:tc>
        <w:tc>
          <w:tcPr>
            <w:tcW w:w="2277" w:type="dxa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У)-1.4,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У)-6.1.</w:t>
            </w:r>
          </w:p>
        </w:tc>
        <w:tc>
          <w:tcPr>
            <w:tcW w:w="2809" w:type="dxa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 этап.</w:t>
            </w:r>
          </w:p>
        </w:tc>
        <w:tc>
          <w:tcPr>
            <w:tcW w:w="3369" w:type="dxa"/>
            <w:vMerge w:val="restart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7C7654">
        <w:trPr>
          <w:trHeight w:val="412"/>
        </w:trPr>
        <w:tc>
          <w:tcPr>
            <w:tcW w:w="947" w:type="dxa"/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</w:t>
            </w:r>
            <w:r>
              <w:rPr>
                <w:sz w:val="20"/>
              </w:rPr>
              <w:t>и.</w:t>
            </w:r>
          </w:p>
        </w:tc>
        <w:tc>
          <w:tcPr>
            <w:tcW w:w="2277" w:type="dxa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У)-1.4,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У)-6.1.</w:t>
            </w:r>
          </w:p>
        </w:tc>
        <w:tc>
          <w:tcPr>
            <w:tcW w:w="2809" w:type="dxa"/>
            <w:vMerge w:val="restart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 этап.</w:t>
            </w:r>
          </w:p>
        </w:tc>
        <w:tc>
          <w:tcPr>
            <w:tcW w:w="3369" w:type="dxa"/>
            <w:vMerge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7C7654">
        <w:trPr>
          <w:trHeight w:val="412"/>
        </w:trPr>
        <w:tc>
          <w:tcPr>
            <w:tcW w:w="947" w:type="dxa"/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Самостоятельно оценивать показатели, характеризующие производственную безопасность деятельности организации.</w:t>
            </w:r>
          </w:p>
        </w:tc>
        <w:tc>
          <w:tcPr>
            <w:tcW w:w="2277" w:type="dxa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У)-1.4,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У)-6.1.</w:t>
            </w:r>
          </w:p>
        </w:tc>
        <w:tc>
          <w:tcPr>
            <w:tcW w:w="2809" w:type="dxa"/>
            <w:vMerge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7C7654">
        <w:trPr>
          <w:trHeight w:val="412"/>
        </w:trPr>
        <w:tc>
          <w:tcPr>
            <w:tcW w:w="947" w:type="dxa"/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Разработать план мероприятий по обеспечению безопасности людей в случае техногенной аварии.</w:t>
            </w:r>
          </w:p>
        </w:tc>
        <w:tc>
          <w:tcPr>
            <w:tcW w:w="2277" w:type="dxa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У)-1.4,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У)-6.1.</w:t>
            </w:r>
          </w:p>
        </w:tc>
        <w:tc>
          <w:tcPr>
            <w:tcW w:w="2809" w:type="dxa"/>
            <w:vMerge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7C7654">
        <w:trPr>
          <w:trHeight w:val="412"/>
        </w:trPr>
        <w:tc>
          <w:tcPr>
            <w:tcW w:w="947" w:type="dxa"/>
            <w:shd w:val="clear" w:color="auto" w:fill="auto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Разработать методы планирования мероприятий по применению организационных основ обеспечения производственной безопасности.</w:t>
            </w:r>
          </w:p>
        </w:tc>
        <w:tc>
          <w:tcPr>
            <w:tcW w:w="2277" w:type="dxa"/>
          </w:tcPr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У)-1.4,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У)-2.3,</w:t>
            </w:r>
          </w:p>
          <w:p w:rsidR="007C7654" w:rsidRDefault="00CC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У)-6.1.</w:t>
            </w:r>
          </w:p>
        </w:tc>
        <w:tc>
          <w:tcPr>
            <w:tcW w:w="2809" w:type="dxa"/>
            <w:vMerge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7C7654" w:rsidRDefault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7C7654" w:rsidRDefault="00CC48C1">
      <w:pPr>
        <w:pStyle w:val="1"/>
      </w:pPr>
      <w:r>
        <w:lastRenderedPageBreak/>
        <w:t>Шкала оценивания</w:t>
      </w:r>
    </w:p>
    <w:p w:rsidR="007C7654" w:rsidRDefault="00CC48C1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</w:t>
      </w:r>
      <w:r>
        <w:t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7C7654" w:rsidRDefault="007C7654">
      <w:pPr>
        <w:pStyle w:val="aff2"/>
      </w:pPr>
    </w:p>
    <w:p w:rsidR="007C7654" w:rsidRDefault="00CC48C1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7C7654" w:rsidRDefault="007C7654">
      <w:pPr>
        <w:pStyle w:val="19"/>
      </w:pPr>
    </w:p>
    <w:p w:rsidR="007C7654" w:rsidRDefault="00CC48C1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</w:t>
      </w:r>
      <w:r>
        <w:rPr>
          <w:b w:val="0"/>
        </w:rPr>
        <w:t>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7C7654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7C7654" w:rsidRDefault="00CC48C1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7C7654" w:rsidRDefault="00CC48C1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7C7654" w:rsidRDefault="00CC48C1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7C7654" w:rsidRDefault="00CC48C1">
            <w:pPr>
              <w:pStyle w:val="aff7"/>
            </w:pPr>
            <w:r>
              <w:t>Определение оценки</w:t>
            </w:r>
          </w:p>
        </w:tc>
      </w:tr>
      <w:tr w:rsidR="007C7654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</w:t>
            </w:r>
            <w:r>
              <w:rPr>
                <w:sz w:val="20"/>
              </w:rPr>
              <w:t xml:space="preserve">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7C7654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654" w:rsidRDefault="007C7654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необходимые результаты </w:t>
            </w:r>
            <w:r>
              <w:rPr>
                <w:sz w:val="20"/>
              </w:rPr>
              <w:t>обучения сформированы, качество ни одного из них не оценено минимальным количеством баллов</w:t>
            </w:r>
          </w:p>
        </w:tc>
      </w:tr>
      <w:tr w:rsidR="007C7654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654" w:rsidRDefault="007C7654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необходимые результаты обучения </w:t>
            </w:r>
            <w:r>
              <w:rPr>
                <w:sz w:val="20"/>
              </w:rPr>
              <w:t>сформированы, качество некоторых из них оценено минимальным количеством баллов</w:t>
            </w:r>
          </w:p>
        </w:tc>
      </w:tr>
      <w:tr w:rsidR="007C7654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654" w:rsidRDefault="00CC48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C7654" w:rsidRDefault="00CC48C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7C7654" w:rsidRDefault="00CC48C1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7C7654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C7654" w:rsidRDefault="00CC48C1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7C7654" w:rsidRDefault="00CC48C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7C7654" w:rsidRDefault="00CC48C1">
            <w:pPr>
              <w:pStyle w:val="aff7"/>
            </w:pPr>
            <w:r>
              <w:t>Примеры типовых</w:t>
            </w:r>
            <w:r>
              <w:t xml:space="preserve"> контрольных заданий</w:t>
            </w:r>
          </w:p>
        </w:tc>
      </w:tr>
      <w:tr w:rsidR="007C7654">
        <w:tc>
          <w:tcPr>
            <w:tcW w:w="991" w:type="dxa"/>
          </w:tcPr>
          <w:p w:rsidR="007C7654" w:rsidRDefault="00CC48C1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</w:t>
            </w:r>
            <w:r>
              <w:rPr>
                <w:rFonts w:eastAsia="Times New Roman"/>
                <w:sz w:val="20"/>
                <w:szCs w:val="24"/>
              </w:rPr>
              <w:tab/>
              <w:t>В каких случаях допускается применять незащищенные металлические конструкции?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</w:t>
            </w:r>
            <w:r>
              <w:rPr>
                <w:rFonts w:eastAsia="Times New Roman"/>
                <w:sz w:val="20"/>
                <w:szCs w:val="24"/>
              </w:rPr>
              <w:tab/>
              <w:t>В каких случаях объект защиты должен иметь систему обеспечения пожарной безопасности?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</w:t>
            </w:r>
            <w:r>
              <w:rPr>
                <w:rFonts w:eastAsia="Times New Roman"/>
                <w:sz w:val="20"/>
                <w:szCs w:val="24"/>
              </w:rPr>
              <w:tab/>
              <w:t>В каких случаях пожарная безопасность объекта защиты считается обеспеченной?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</w:t>
            </w:r>
            <w:r>
              <w:rPr>
                <w:rFonts w:eastAsia="Times New Roman"/>
                <w:sz w:val="20"/>
                <w:szCs w:val="24"/>
              </w:rPr>
              <w:tab/>
              <w:t>В каких случаях положения Технического регламента о требованиях пожарной безопасност</w:t>
            </w:r>
            <w:r>
              <w:rPr>
                <w:rFonts w:eastAsia="Times New Roman"/>
                <w:sz w:val="20"/>
                <w:szCs w:val="24"/>
              </w:rPr>
              <w:t>и обязательны для исполнения?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</w:t>
            </w:r>
            <w:r>
              <w:rPr>
                <w:rFonts w:eastAsia="Times New Roman"/>
                <w:sz w:val="20"/>
                <w:szCs w:val="24"/>
              </w:rPr>
              <w:tab/>
              <w:t>На кого возлагается обязанность по проведению повторного инструктажа по охране труда?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</w:t>
            </w:r>
            <w:r>
              <w:rPr>
                <w:rFonts w:eastAsia="Times New Roman"/>
                <w:sz w:val="20"/>
                <w:szCs w:val="24"/>
              </w:rPr>
              <w:tab/>
              <w:t>Для кого является обязательным исполнение государственных нормативных требований охраны труда?</w:t>
            </w:r>
          </w:p>
        </w:tc>
      </w:tr>
      <w:tr w:rsidR="007C7654">
        <w:tc>
          <w:tcPr>
            <w:tcW w:w="991" w:type="dxa"/>
          </w:tcPr>
          <w:p w:rsidR="007C7654" w:rsidRDefault="00CC48C1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_</w:t>
            </w:r>
          </w:p>
        </w:tc>
        <w:tc>
          <w:tcPr>
            <w:tcW w:w="3269" w:type="dxa"/>
          </w:tcPr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Экспертная оценка руководителя </w:t>
            </w:r>
            <w:r>
              <w:rPr>
                <w:rFonts w:eastAsia="Times New Roman"/>
                <w:sz w:val="20"/>
              </w:rPr>
              <w:t>практики</w:t>
            </w:r>
          </w:p>
        </w:tc>
        <w:tc>
          <w:tcPr>
            <w:tcW w:w="10340" w:type="dxa"/>
          </w:tcPr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руководителя практики: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7C7654" w:rsidRDefault="007C7654">
      <w:pPr>
        <w:spacing w:after="0" w:line="240" w:lineRule="auto"/>
        <w:rPr>
          <w:rFonts w:eastAsia="Times New Roman"/>
          <w:szCs w:val="24"/>
        </w:rPr>
      </w:pPr>
    </w:p>
    <w:p w:rsidR="007C7654" w:rsidRDefault="00CC48C1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7C7654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7C7654" w:rsidRDefault="00CC48C1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7C7654" w:rsidRDefault="00CC48C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7C7654" w:rsidRDefault="00CC48C1">
            <w:pPr>
              <w:pStyle w:val="aff7"/>
            </w:pPr>
            <w:r>
              <w:t xml:space="preserve">Процедура проведения </w:t>
            </w:r>
            <w:r>
              <w:t>оценочного мероприятия и необходимые методические указания</w:t>
            </w:r>
          </w:p>
        </w:tc>
      </w:tr>
      <w:tr w:rsidR="007C7654">
        <w:tc>
          <w:tcPr>
            <w:tcW w:w="725" w:type="dxa"/>
          </w:tcPr>
          <w:p w:rsidR="007C7654" w:rsidRDefault="00CC48C1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обучающийся предъявляет комиссии </w:t>
            </w:r>
            <w:r>
              <w:rPr>
                <w:rFonts w:eastAsia="Times New Roman"/>
                <w:sz w:val="20"/>
                <w:szCs w:val="24"/>
              </w:rPr>
              <w:t>отчет и дневник практики и делает краткое сообщение, сопровождаемое показом демонстрационных материалов;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вопросы и заслушивают ответы;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могут быть заданы теоретические и практические вопросы по представленным в отчете </w:t>
            </w:r>
            <w:r>
              <w:rPr>
                <w:rFonts w:eastAsia="Times New Roman"/>
                <w:sz w:val="20"/>
                <w:szCs w:val="24"/>
              </w:rPr>
              <w:t>материалам и практике в целом;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оценивают выполненную работу и ответы на вопросы в соответствии с критериями в п.3.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</w:t>
            </w:r>
            <w:r>
              <w:rPr>
                <w:rFonts w:eastAsia="Times New Roman"/>
                <w:sz w:val="20"/>
                <w:szCs w:val="24"/>
              </w:rPr>
              <w:t>сти результатов обучения в аттестационном листе практики.</w:t>
            </w:r>
          </w:p>
        </w:tc>
      </w:tr>
      <w:tr w:rsidR="007C7654">
        <w:tc>
          <w:tcPr>
            <w:tcW w:w="725" w:type="dxa"/>
          </w:tcPr>
          <w:p w:rsidR="007C7654" w:rsidRDefault="00CC48C1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соответствие отчета о практике по структуре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содержанию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установленным</w:t>
            </w:r>
            <w:r>
              <w:rPr>
                <w:rFonts w:eastAsia="Times New Roman"/>
                <w:sz w:val="20"/>
                <w:szCs w:val="24"/>
              </w:rPr>
              <w:t xml:space="preserve"> требованиям (Положение о практике);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выполнение индивидуального задания практики в полном объеме;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степень соответствия выполненных работ содержанию заявленных результатов обучения;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четкость и техническая правильность оформления отчета и дневника прак</w:t>
            </w:r>
            <w:r>
              <w:rPr>
                <w:rFonts w:eastAsia="Times New Roman"/>
                <w:sz w:val="20"/>
                <w:szCs w:val="24"/>
              </w:rPr>
              <w:t>тики;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7C7654" w:rsidRDefault="00CC48C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</w:t>
            </w:r>
            <w:r>
              <w:rPr>
                <w:rFonts w:eastAsia="Times New Roman"/>
                <w:sz w:val="20"/>
                <w:szCs w:val="24"/>
              </w:rPr>
              <w:t xml:space="preserve">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ТПУ.</w:t>
            </w:r>
          </w:p>
          <w:p w:rsidR="007C7654" w:rsidRDefault="007C765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:rsidR="007C7654" w:rsidRDefault="00CC48C1">
      <w:pPr>
        <w:rPr>
          <w:rFonts w:eastAsia="MS Mincho"/>
          <w:b/>
          <w:bCs/>
          <w:szCs w:val="24"/>
        </w:rPr>
      </w:pPr>
      <w:r>
        <w:br w:type="page"/>
      </w:r>
    </w:p>
    <w:p w:rsidR="007C7654" w:rsidRDefault="00CC48C1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1"/>
        <w:gridCol w:w="1394"/>
        <w:gridCol w:w="1045"/>
        <w:gridCol w:w="2622"/>
        <w:gridCol w:w="1219"/>
        <w:gridCol w:w="1219"/>
        <w:gridCol w:w="1219"/>
        <w:gridCol w:w="1219"/>
        <w:gridCol w:w="1219"/>
        <w:gridCol w:w="1708"/>
      </w:tblGrid>
      <w:tr w:rsidR="007C7654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 xml:space="preserve">Код и </w:t>
            </w:r>
            <w:r>
              <w:t>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7C7654" w:rsidRDefault="00CC48C1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7C7654">
        <w:trPr>
          <w:cantSplit/>
        </w:trPr>
        <w:tc>
          <w:tcPr>
            <w:tcW w:w="2373" w:type="dxa"/>
            <w:vMerge w:val="restart"/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7C7654">
        <w:trPr>
          <w:cantSplit/>
        </w:trPr>
        <w:tc>
          <w:tcPr>
            <w:tcW w:w="2373" w:type="dxa"/>
            <w:vMerge/>
          </w:tcPr>
          <w:p w:rsidR="007C7654" w:rsidRDefault="007C7654"/>
        </w:tc>
        <w:tc>
          <w:tcPr>
            <w:tcW w:w="1524" w:type="dxa"/>
            <w:vMerge/>
          </w:tcPr>
          <w:p w:rsidR="007C7654" w:rsidRDefault="007C7654"/>
        </w:tc>
        <w:tc>
          <w:tcPr>
            <w:tcW w:w="2223" w:type="dxa"/>
            <w:vMerge/>
          </w:tcPr>
          <w:p w:rsidR="007C7654" w:rsidRDefault="007C7654"/>
        </w:tc>
        <w:tc>
          <w:tcPr>
            <w:tcW w:w="4964" w:type="dxa"/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Максимальный </w:t>
            </w:r>
            <w:r>
              <w:rPr>
                <w:rFonts w:eastAsia="Times New Roman"/>
                <w:sz w:val="20"/>
              </w:rPr>
              <w:t>балл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7C7654">
        <w:trPr>
          <w:cantSplit/>
        </w:trPr>
        <w:tc>
          <w:tcPr>
            <w:tcW w:w="2373" w:type="dxa"/>
            <w:vMerge/>
          </w:tcPr>
          <w:p w:rsidR="007C7654" w:rsidRDefault="007C7654"/>
        </w:tc>
        <w:tc>
          <w:tcPr>
            <w:tcW w:w="1524" w:type="dxa"/>
            <w:vMerge/>
          </w:tcPr>
          <w:p w:rsidR="007C7654" w:rsidRDefault="007C7654"/>
        </w:tc>
        <w:tc>
          <w:tcPr>
            <w:tcW w:w="2223" w:type="dxa"/>
            <w:vMerge/>
          </w:tcPr>
          <w:p w:rsidR="007C7654" w:rsidRDefault="007C7654"/>
        </w:tc>
        <w:tc>
          <w:tcPr>
            <w:tcW w:w="4964" w:type="dxa"/>
            <w:tcBorders>
              <w:bottom w:val="single" w:sz="4" w:space="0" w:color="auto"/>
            </w:tcBorders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</w:tr>
      <w:tr w:rsidR="007C7654">
        <w:trPr>
          <w:cantSplit/>
          <w:trHeight w:val="322"/>
        </w:trPr>
        <w:tc>
          <w:tcPr>
            <w:tcW w:w="2373" w:type="dxa"/>
            <w:vMerge/>
          </w:tcPr>
          <w:p w:rsidR="007C7654" w:rsidRDefault="007C7654"/>
        </w:tc>
        <w:tc>
          <w:tcPr>
            <w:tcW w:w="1524" w:type="dxa"/>
            <w:vMerge/>
          </w:tcPr>
          <w:p w:rsidR="007C7654" w:rsidRDefault="007C7654"/>
        </w:tc>
        <w:tc>
          <w:tcPr>
            <w:tcW w:w="2223" w:type="dxa"/>
            <w:vMerge/>
          </w:tcPr>
          <w:p w:rsidR="007C7654" w:rsidRDefault="007C7654"/>
        </w:tc>
        <w:tc>
          <w:tcPr>
            <w:tcW w:w="4964" w:type="dxa"/>
            <w:shd w:val="clear" w:color="auto" w:fill="C6D9F1" w:themeFill="text2" w:themeFillTint="33"/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</w:tr>
      <w:tr w:rsidR="007C7654">
        <w:trPr>
          <w:cantSplit/>
        </w:trPr>
        <w:tc>
          <w:tcPr>
            <w:tcW w:w="2373" w:type="dxa"/>
            <w:vMerge w:val="restart"/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7C7654">
        <w:trPr>
          <w:cantSplit/>
        </w:trPr>
        <w:tc>
          <w:tcPr>
            <w:tcW w:w="2373" w:type="dxa"/>
            <w:vMerge/>
          </w:tcPr>
          <w:p w:rsidR="007C7654" w:rsidRDefault="007C7654"/>
        </w:tc>
        <w:tc>
          <w:tcPr>
            <w:tcW w:w="1524" w:type="dxa"/>
            <w:vMerge/>
          </w:tcPr>
          <w:p w:rsidR="007C7654" w:rsidRDefault="007C7654"/>
        </w:tc>
        <w:tc>
          <w:tcPr>
            <w:tcW w:w="2223" w:type="dxa"/>
            <w:vMerge/>
          </w:tcPr>
          <w:p w:rsidR="007C7654" w:rsidRDefault="007C7654"/>
        </w:tc>
        <w:tc>
          <w:tcPr>
            <w:tcW w:w="4964" w:type="dxa"/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7C7654">
        <w:trPr>
          <w:cantSplit/>
        </w:trPr>
        <w:tc>
          <w:tcPr>
            <w:tcW w:w="2373" w:type="dxa"/>
            <w:vMerge/>
          </w:tcPr>
          <w:p w:rsidR="007C7654" w:rsidRDefault="007C7654"/>
        </w:tc>
        <w:tc>
          <w:tcPr>
            <w:tcW w:w="1524" w:type="dxa"/>
            <w:vMerge/>
          </w:tcPr>
          <w:p w:rsidR="007C7654" w:rsidRDefault="007C7654"/>
        </w:tc>
        <w:tc>
          <w:tcPr>
            <w:tcW w:w="2223" w:type="dxa"/>
            <w:vMerge/>
          </w:tcPr>
          <w:p w:rsidR="007C7654" w:rsidRDefault="007C7654"/>
        </w:tc>
        <w:tc>
          <w:tcPr>
            <w:tcW w:w="4964" w:type="dxa"/>
            <w:tcBorders>
              <w:bottom w:val="single" w:sz="4" w:space="0" w:color="auto"/>
            </w:tcBorders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7C7654" w:rsidRDefault="007C7654"/>
        </w:tc>
      </w:tr>
      <w:tr w:rsidR="007C7654">
        <w:trPr>
          <w:cantSplit/>
          <w:trHeight w:val="726"/>
        </w:trPr>
        <w:tc>
          <w:tcPr>
            <w:tcW w:w="2373" w:type="dxa"/>
            <w:vMerge/>
          </w:tcPr>
          <w:p w:rsidR="007C7654" w:rsidRDefault="007C7654"/>
        </w:tc>
        <w:tc>
          <w:tcPr>
            <w:tcW w:w="1524" w:type="dxa"/>
            <w:vMerge/>
          </w:tcPr>
          <w:p w:rsidR="007C7654" w:rsidRDefault="007C7654"/>
        </w:tc>
        <w:tc>
          <w:tcPr>
            <w:tcW w:w="2223" w:type="dxa"/>
            <w:vMerge/>
          </w:tcPr>
          <w:p w:rsidR="007C7654" w:rsidRDefault="007C7654"/>
        </w:tc>
        <w:tc>
          <w:tcPr>
            <w:tcW w:w="4964" w:type="dxa"/>
            <w:shd w:val="clear" w:color="auto" w:fill="C6D9F1" w:themeFill="text2" w:themeFillTint="33"/>
          </w:tcPr>
          <w:p w:rsidR="007C7654" w:rsidRDefault="00CC48C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7C7654" w:rsidRDefault="007C7654"/>
        </w:tc>
      </w:tr>
      <w:tr w:rsidR="007C7654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7C7654" w:rsidRDefault="007C7654"/>
        </w:tc>
        <w:tc>
          <w:tcPr>
            <w:tcW w:w="3481" w:type="dxa"/>
            <w:shd w:val="clear" w:color="auto" w:fill="FFFFFF" w:themeFill="background1"/>
            <w:vAlign w:val="center"/>
          </w:tcPr>
          <w:p w:rsidR="007C7654" w:rsidRDefault="007C7654"/>
        </w:tc>
        <w:tc>
          <w:tcPr>
            <w:tcW w:w="3481" w:type="dxa"/>
            <w:shd w:val="clear" w:color="auto" w:fill="FFFFFF" w:themeFill="background1"/>
            <w:vAlign w:val="center"/>
          </w:tcPr>
          <w:p w:rsidR="007C7654" w:rsidRDefault="007C7654"/>
        </w:tc>
        <w:tc>
          <w:tcPr>
            <w:tcW w:w="3481" w:type="dxa"/>
            <w:shd w:val="clear" w:color="auto" w:fill="FFFFFF" w:themeFill="background1"/>
            <w:vAlign w:val="center"/>
          </w:tcPr>
          <w:p w:rsidR="007C7654" w:rsidRDefault="007C7654"/>
        </w:tc>
        <w:tc>
          <w:tcPr>
            <w:tcW w:w="3481" w:type="dxa"/>
            <w:shd w:val="clear" w:color="auto" w:fill="FFFFFF" w:themeFill="background1"/>
            <w:vAlign w:val="center"/>
          </w:tcPr>
          <w:p w:rsidR="007C7654" w:rsidRDefault="007C7654"/>
        </w:tc>
        <w:tc>
          <w:tcPr>
            <w:tcW w:w="3481" w:type="dxa"/>
            <w:shd w:val="clear" w:color="auto" w:fill="FFFFFF" w:themeFill="background1"/>
            <w:vAlign w:val="center"/>
          </w:tcPr>
          <w:p w:rsidR="007C7654" w:rsidRDefault="007C7654"/>
        </w:tc>
      </w:tr>
      <w:tr w:rsidR="007C7654">
        <w:trPr>
          <w:cantSplit/>
        </w:trPr>
        <w:tc>
          <w:tcPr>
            <w:tcW w:w="3897" w:type="dxa"/>
            <w:gridSpan w:val="8"/>
            <w:vAlign w:val="center"/>
          </w:tcPr>
          <w:p w:rsidR="007C7654" w:rsidRDefault="00CC48C1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7C7654" w:rsidRDefault="007C7654"/>
        </w:tc>
      </w:tr>
    </w:tbl>
    <w:p w:rsidR="007C7654" w:rsidRDefault="007C7654">
      <w:pPr>
        <w:spacing w:after="0" w:line="240" w:lineRule="auto"/>
        <w:rPr>
          <w:rFonts w:eastAsia="Times New Roman"/>
        </w:rPr>
      </w:pPr>
    </w:p>
    <w:sectPr w:rsidR="007C7654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C1" w:rsidRDefault="00CC48C1">
      <w:pPr>
        <w:spacing w:line="240" w:lineRule="auto"/>
      </w:pPr>
      <w:r>
        <w:separator/>
      </w:r>
    </w:p>
  </w:endnote>
  <w:endnote w:type="continuationSeparator" w:id="0">
    <w:p w:rsidR="00CC48C1" w:rsidRDefault="00CC4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654" w:rsidRDefault="00CC48C1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7C7654" w:rsidRDefault="00CC48C1">
        <w:pPr>
          <w:pStyle w:val="af4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3F50CA">
          <w:rPr>
            <w:noProof/>
          </w:rPr>
          <w:t>8</w:t>
        </w:r>
        <w:r>
          <w:fldChar w:fldCharType="end"/>
        </w:r>
      </w:p>
    </w:sdtContent>
  </w:sdt>
  <w:p w:rsidR="007C7654" w:rsidRDefault="007C765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C1" w:rsidRDefault="00CC48C1">
      <w:pPr>
        <w:spacing w:after="0" w:line="240" w:lineRule="auto"/>
      </w:pPr>
      <w:r>
        <w:separator/>
      </w:r>
    </w:p>
  </w:footnote>
  <w:footnote w:type="continuationSeparator" w:id="0">
    <w:p w:rsidR="00CC48C1" w:rsidRDefault="00CC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654" w:rsidRDefault="007C7654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50CA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C7654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C48C1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53</cp:revision>
  <cp:lastPrinted>2019-08-28T16:58:00Z</cp:lastPrinted>
  <dcterms:created xsi:type="dcterms:W3CDTF">2020-06-02T05:35:00Z</dcterms:created>
  <dcterms:modified xsi:type="dcterms:W3CDTF">2025-11-11T09:53:00Z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