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</w:p>
    <w:p w14:paraId="0000000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ФОНД ОЦЕНОЧНЫХ СРЕДСТВ ПО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ПРАКТИКЕ</w:t>
      </w:r>
    </w:p>
    <w:p w14:paraId="00000007">
      <w:pPr>
        <w:spacing w:after="0" w:line="240" w:lineRule="auto"/>
        <w:jc w:val="center"/>
        <w:rPr>
          <w:rFonts w:ascii="Times New Roman" w:cs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cs="Times New Roman" w:eastAsia="MS Mincho" w:hAnsi="Times New Roman"/>
          <w:b/>
          <w:sz w:val="24"/>
          <w:szCs w:val="24"/>
          <w:lang w:eastAsia="ja-JP"/>
        </w:rPr>
        <w:t xml:space="preserve">ПРИЕМ </w:t>
      </w:r>
      <w:r>
        <w:rPr>
          <w:rFonts w:ascii="Times New Roman" w:cs="Times New Roman" w:eastAsia="MS Mincho" w:hAnsi="Times New Roman"/>
          <w:b/>
          <w:sz w:val="24"/>
          <w:szCs w:val="24"/>
          <w:lang w:eastAsia="ja-JP"/>
        </w:rPr>
        <w:t>20</w:t>
      </w:r>
      <w:r>
        <w:rPr>
          <w:rFonts w:ascii="Times New Roman" w:cs="Times New Roman" w:eastAsia="MS Mincho" w:hAnsi="Times New Roman"/>
          <w:b/>
          <w:sz w:val="24"/>
          <w:szCs w:val="24"/>
          <w:lang w:eastAsia="ja-JP"/>
        </w:rPr>
        <w:t>2</w:t>
      </w:r>
      <w:r>
        <w:rPr>
          <w:rFonts w:ascii="Times New Roman" w:cs="Times New Roman" w:eastAsia="MS Mincho" w:hAnsi="Times New Roman"/>
          <w:b/>
          <w:sz w:val="24"/>
          <w:szCs w:val="24"/>
          <w:lang w:eastAsia="ja-JP"/>
        </w:rPr>
        <w:t>4</w:t>
      </w:r>
      <w:r>
        <w:rPr>
          <w:rFonts w:ascii="Times New Roman" w:cs="Times New Roman" w:eastAsia="MS Mincho" w:hAnsi="Times New Roman"/>
          <w:b/>
          <w:sz w:val="24"/>
          <w:szCs w:val="24"/>
          <w:lang w:eastAsia="ja-JP"/>
        </w:rPr>
        <w:t xml:space="preserve"> г.</w:t>
      </w:r>
    </w:p>
    <w:p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/>
          <w:color w:val="7030a0"/>
          <w:sz w:val="24"/>
          <w:szCs w:val="24"/>
          <w:lang w:eastAsia="ru-RU"/>
        </w:rPr>
      </w:pPr>
      <w:r>
        <w:rPr>
          <w:rFonts w:ascii="Times New Roman" w:cs="Times New Roman" w:eastAsia="MS Mincho" w:hAnsi="Times New Roman"/>
          <w:sz w:val="24"/>
          <w:szCs w:val="24"/>
          <w:lang w:eastAsia="ja-JP"/>
        </w:rPr>
        <w:t>ФОРМА ОБУЧЕНИЯ</w:t>
      </w:r>
      <w:r>
        <w:rPr>
          <w:rFonts w:ascii="Times New Roman" w:cs="Times New Roman" w:eastAsia="MS Mincho" w:hAnsi="Times New Roman"/>
          <w:sz w:val="24"/>
          <w:szCs w:val="24"/>
          <w:u w:val="single"/>
          <w:lang w:eastAsia="ja-JP"/>
        </w:rPr>
        <w:t xml:space="preserve"> очн</w:t>
      </w:r>
      <w:r>
        <w:rPr>
          <w:rFonts w:ascii="Times New Roman" w:cs="Times New Roman" w:eastAsia="MS Mincho" w:hAnsi="Times New Roman"/>
          <w:sz w:val="24"/>
          <w:szCs w:val="24"/>
          <w:u w:val="single"/>
          <w:lang w:eastAsia="ja-JP"/>
        </w:rPr>
        <w:t>о-заочная</w:t>
      </w:r>
    </w:p>
    <w:p w14:paraId="00000009">
      <w:pPr>
        <w:spacing w:after="0" w:line="240" w:lineRule="auto"/>
        <w:jc w:val="center"/>
        <w:rPr>
          <w:rFonts w:ascii="Times New Roman" w:cs="Times New Roman" w:eastAsia="MS Mincho" w:hAnsi="Times New Roman"/>
          <w:b/>
          <w:sz w:val="24"/>
          <w:szCs w:val="24"/>
          <w:lang w:eastAsia="ja-JP"/>
        </w:rPr>
      </w:pPr>
    </w:p>
    <w:p w14:paraId="0000000A">
      <w:pPr>
        <w:spacing w:after="0" w:line="240" w:lineRule="auto"/>
        <w:jc w:val="center"/>
        <w:rPr>
          <w:rFonts w:ascii="Times New Roman" w:cs="Times New Roman" w:eastAsia="MS Mincho" w:hAnsi="Times New Roman"/>
          <w:b/>
          <w:sz w:val="24"/>
          <w:szCs w:val="24"/>
          <w:lang w:eastAsia="ja-JP"/>
        </w:rPr>
      </w:pPr>
    </w:p>
    <w:p w14:paraId="0000000B">
      <w:pPr>
        <w:spacing w:after="0" w:line="240" w:lineRule="auto"/>
        <w:jc w:val="center"/>
        <w:rPr>
          <w:rFonts w:ascii="Times New Roman" w:cs="Times New Roman" w:eastAsia="MS Mincho" w:hAnsi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408"/>
        <w:gridCol w:w="854"/>
        <w:gridCol w:w="1551"/>
        <w:gridCol w:w="1060"/>
        <w:gridCol w:w="7439"/>
      </w:tblGrid>
      <w:tr>
        <w:trPr/>
        <w:tc>
          <w:tcPr>
            <w:cnfStyle w:val="101000000000"/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cnfStyle w:val="100000000000"/>
            <w:tcW w:w="10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D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Учебная</w:t>
            </w:r>
          </w:p>
        </w:tc>
      </w:tr>
      <w:tr>
        <w:trPr/>
        <w:tc>
          <w:tcPr>
            <w:cnfStyle w:val="001000100000"/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E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cnfStyle w:val="000000100000"/>
            <w:tcW w:w="10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F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Ознакомительная</w:t>
            </w:r>
          </w:p>
        </w:tc>
      </w:tr>
      <w:tr>
        <w:trPr/>
        <w:tc>
          <w:tcPr>
            <w:cnfStyle w:val="001000010000"/>
            <w:tcW w:w="3408" w:type="dxa"/>
            <w:tcBorders>
              <w:top w:val="single" w:color="auto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0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10904" w:type="dxa"/>
            <w:gridSpan w:val="4"/>
            <w:tcBorders>
              <w:top w:val="single" w:color="auto" w:sz="4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11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000012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3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cnfStyle w:val="000000100000"/>
            <w:tcW w:w="10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4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21.03.01 Нефтегазовое дело</w:t>
            </w: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cnfStyle w:val="000000010000"/>
            <w:tcW w:w="10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6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7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cnfStyle w:val="000000100000"/>
            <w:tcW w:w="10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8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9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cnfStyle w:val="000000010000"/>
            <w:tcW w:w="10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A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высшее образование - бакалавриат </w:t>
            </w: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B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109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C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D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cnfStyle w:val="000000010000"/>
            <w:tcW w:w="8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E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00010000"/>
            <w:tcW w:w="1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F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cnfStyle w:val="000000010000"/>
            <w:tcW w:w="8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0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21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cnfStyle w:val="000000100000"/>
            <w:tcW w:w="10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2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кредитов</w:t>
            </w: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3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10904" w:type="dxa"/>
            <w:gridSpan w:val="4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4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5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10904" w:type="dxa"/>
            <w:gridSpan w:val="4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</w:tcPr>
          <w:p w14:paraId="00000026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7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 xml:space="preserve">И.о. 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зав.каф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. - руководител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ь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 xml:space="preserve"> отделения нефтегазового дела на правах кафедры</w:t>
            </w:r>
          </w:p>
        </w:tc>
        <w:tc>
          <w:tcPr>
            <w:cnfStyle w:val="000000010000"/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8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7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9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А.А. Лукин</w:t>
            </w:r>
          </w:p>
        </w:tc>
      </w:tr>
      <w:tr>
        <w:trPr/>
        <w:tc>
          <w:tcPr>
            <w:cnfStyle w:val="00100010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A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 xml:space="preserve">           Руководитель 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ОПОП</w:t>
            </w: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cnfStyle w:val="000000100000"/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B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100000"/>
            <w:tcW w:w="7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C">
            <w:pPr>
              <w:spacing w:line="240" w:lineRule="auto"/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Ю.А. Максимова</w:t>
            </w:r>
          </w:p>
        </w:tc>
      </w:tr>
      <w:tr>
        <w:trPr/>
        <w:tc>
          <w:tcPr>
            <w:cnfStyle w:val="001000010000"/>
            <w:tcW w:w="340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D">
            <w:pPr>
              <w:widowControl w:val="off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cnfStyle w:val="000000010000"/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E">
            <w:pPr>
              <w:widowControl w:val="off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cnfStyle w:val="000000010000"/>
            <w:tcW w:w="7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F">
            <w:pPr>
              <w:spacing w:line="240" w:lineRule="auto"/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 w:themeColor="text1"/>
                <w:sz w:val="24"/>
                <w:szCs w:val="24"/>
              </w:rPr>
              <w:t>М.А. Гладких</w:t>
            </w:r>
          </w:p>
        </w:tc>
      </w:tr>
    </w:tbl>
    <w:p w14:paraId="00000030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1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14:paraId="00000032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  <w:sectPr>
          <w:headerReference w:type="default" r:id="rId12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</w:t>
      </w:r>
      <w:bookmarkStart w:id="0" w:name="_GoBack"/>
      <w:bookmarkEnd w:id="0"/>
    </w:p>
    <w:p w14:paraId="00000033">
      <w:pPr>
        <w:pStyle w:val="ListParagraph"/>
        <w:numPr>
          <w:ilvl w:val="0"/>
          <w:numId w:val="1"/>
        </w:numPr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Р</w:t>
      </w:r>
      <w:r>
        <w:rPr>
          <w:rFonts w:ascii="Times New Roman" w:cs="Times New Roman" w:eastAsia="Times New Roman" w:hAnsi="Times New Roman"/>
          <w:b/>
        </w:rPr>
        <w:t>оль практики</w:t>
      </w:r>
      <w:r>
        <w:rPr>
          <w:rFonts w:ascii="Times New Roman" w:cs="Times New Roman" w:eastAsia="Times New Roman" w:hAnsi="Times New Roman"/>
          <w:b/>
        </w:rPr>
        <w:t xml:space="preserve"> в формировании компетенций выпускника:</w:t>
      </w:r>
    </w:p>
    <w:p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</w:p>
    <w:tbl>
      <w:tblPr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821"/>
        <w:gridCol w:w="805"/>
        <w:gridCol w:w="1127"/>
        <w:gridCol w:w="2301"/>
        <w:gridCol w:w="1336"/>
        <w:gridCol w:w="2386"/>
        <w:gridCol w:w="1483"/>
        <w:gridCol w:w="3301"/>
      </w:tblGrid>
      <w:tr>
        <w:trPr>
          <w:cnfStyle w:val="100000000000"/>
          <w:trHeight w:val="373"/>
          <w:tblHeader w:val="on"/>
        </w:trPr>
        <w:tc>
          <w:tcPr>
            <w:cnfStyle w:val="101000000000"/>
            <w:tcW w:w="496" w:type="pct"/>
            <w:vMerge w:val="restart"/>
            <w:shd w:val="clear" w:color="auto" w:fill="ededed"/>
            <w:vAlign w:val="center"/>
          </w:tcPr>
          <w:p w14:paraId="00000035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cnfStyle w:val="100010000000"/>
            <w:tcW w:w="272" w:type="pct"/>
            <w:vMerge w:val="restart"/>
            <w:shd w:val="clear" w:color="auto" w:fill="ededed"/>
            <w:vAlign w:val="center"/>
          </w:tcPr>
          <w:p w14:paraId="00000036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cnfStyle w:val="100001000000"/>
            <w:tcW w:w="382" w:type="pct"/>
            <w:vMerge w:val="restart"/>
            <w:shd w:val="clear" w:color="auto" w:fill="ededed"/>
            <w:vAlign w:val="center"/>
          </w:tcPr>
          <w:p w14:paraId="00000037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  <w:t>Код компетенции</w:t>
            </w:r>
          </w:p>
          <w:p w14:paraId="00000038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cnfStyle w:val="100010000000"/>
            <w:tcW w:w="820" w:type="pct"/>
            <w:vMerge w:val="restart"/>
            <w:shd w:val="clear" w:color="auto" w:fill="ededed"/>
            <w:vAlign w:val="center"/>
          </w:tcPr>
          <w:p w14:paraId="00000039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vertAlign w:val="superscript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pacing w:val="-6"/>
                <w:sz w:val="16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cnfStyle w:val="100001000000"/>
            <w:tcW w:w="1326" w:type="pct"/>
            <w:gridSpan w:val="2"/>
            <w:shd w:val="clear" w:color="auto" w:fill="ededed"/>
          </w:tcPr>
          <w:p w14:paraId="0000003A">
            <w:pPr>
              <w:spacing w:after="0" w:line="240" w:lineRule="auto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>Индикаторы достижения компетенций</w:t>
            </w:r>
          </w:p>
        </w:tc>
        <w:tc>
          <w:tcPr>
            <w:cnfStyle w:val="100100000000"/>
            <w:tcW w:w="1704" w:type="pct"/>
            <w:gridSpan w:val="2"/>
            <w:shd w:val="clear" w:color="auto" w:fill="ededed"/>
            <w:vAlign w:val="center"/>
          </w:tcPr>
          <w:p w14:paraId="0000003B">
            <w:pPr>
              <w:spacing w:after="0" w:line="240" w:lineRule="auto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>
        <w:trPr>
          <w:cnfStyle w:val="000000100000"/>
          <w:trHeight w:val="417"/>
          <w:tblHeader w:val="on"/>
        </w:trPr>
        <w:tc>
          <w:tcPr>
            <w:cnfStyle w:val="001000100000"/>
            <w:tcW w:w="496" w:type="pct"/>
            <w:vMerge w:val="continue"/>
            <w:shd w:val="clear" w:color="auto" w:fill="ededed"/>
          </w:tcPr>
          <w:p w14:paraId="0000003C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cnfStyle w:val="000010100000"/>
            <w:tcW w:w="272" w:type="pct"/>
            <w:vMerge w:val="continue"/>
            <w:shd w:val="clear" w:color="auto" w:fill="ededed"/>
          </w:tcPr>
          <w:p w14:paraId="0000003D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cnfStyle w:val="000001100000"/>
            <w:tcW w:w="382" w:type="pct"/>
            <w:vMerge w:val="continue"/>
            <w:shd w:val="clear" w:color="auto" w:fill="ededed"/>
            <w:vAlign w:val="center"/>
          </w:tcPr>
          <w:p w14:paraId="0000003E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cnfStyle w:val="000010100000"/>
            <w:tcW w:w="820" w:type="pct"/>
            <w:vMerge w:val="continue"/>
            <w:shd w:val="clear" w:color="auto" w:fill="ededed"/>
            <w:vAlign w:val="center"/>
          </w:tcPr>
          <w:p w14:paraId="0000003F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cnfStyle w:val="000001100000"/>
            <w:tcW w:w="476" w:type="pct"/>
            <w:shd w:val="clear" w:color="auto" w:fill="ededed"/>
            <w:vAlign w:val="center"/>
          </w:tcPr>
          <w:p w14:paraId="00000040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>Код индикатора</w:t>
            </w:r>
          </w:p>
        </w:tc>
        <w:tc>
          <w:tcPr>
            <w:cnfStyle w:val="000010100000"/>
            <w:tcW w:w="850" w:type="pct"/>
            <w:shd w:val="clear" w:color="auto" w:fill="ededed"/>
            <w:vAlign w:val="center"/>
          </w:tcPr>
          <w:p w14:paraId="00000041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>Наименование индикатора достижения</w:t>
            </w:r>
          </w:p>
        </w:tc>
        <w:tc>
          <w:tcPr>
            <w:cnfStyle w:val="000001100000"/>
            <w:tcW w:w="528" w:type="pct"/>
            <w:shd w:val="clear" w:color="auto" w:fill="ededed"/>
            <w:vAlign w:val="center"/>
          </w:tcPr>
          <w:p w14:paraId="00000042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 xml:space="preserve">Код </w:t>
            </w:r>
          </w:p>
        </w:tc>
        <w:tc>
          <w:tcPr>
            <w:cnfStyle w:val="000100100000"/>
            <w:tcW w:w="1176" w:type="pct"/>
            <w:shd w:val="clear" w:color="auto" w:fill="ededed"/>
            <w:vAlign w:val="center"/>
          </w:tcPr>
          <w:p w14:paraId="00000043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  <w:t xml:space="preserve">Наименование </w:t>
            </w:r>
          </w:p>
          <w:p w14:paraId="00000044">
            <w:pPr>
              <w:spacing w:after="0" w:line="240" w:lineRule="auto"/>
              <w:ind w:firstLine="11"/>
              <w:jc w:val="center"/>
              <w:rPr>
                <w:rFonts w:ascii="Times New Roman" w:cs="Times New Roman" w:eastAsia="MS Mincho" w:hAnsi="Times New Roman"/>
                <w:b/>
                <w:sz w:val="16"/>
                <w:szCs w:val="16"/>
                <w:lang w:eastAsia="ja-JP"/>
              </w:rPr>
            </w:pP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restart"/>
            <w:vAlign w:val="center"/>
          </w:tcPr>
          <w:p w14:paraId="00000045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>Вид практики: учебная.</w:t>
            </w:r>
          </w:p>
          <w:p w14:paraId="0000004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>Тип</w:t>
            </w: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 xml:space="preserve"> практики</w:t>
            </w: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>ознакоми</w:t>
            </w:r>
            <w:r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  <w:t>тельная</w:t>
            </w:r>
          </w:p>
        </w:tc>
        <w:tc>
          <w:tcPr>
            <w:cnfStyle w:val="000010010000"/>
            <w:tcW w:w="272" w:type="pct"/>
            <w:vMerge w:val="restart"/>
            <w:vAlign w:val="center"/>
          </w:tcPr>
          <w:p w14:paraId="00000047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cnfStyle w:val="000001010000"/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8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00010010000"/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9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A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</w:tc>
        <w:tc>
          <w:tcPr>
            <w:cnfStyle w:val="000010010000"/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B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101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C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1.1В1</w:t>
            </w:r>
          </w:p>
        </w:tc>
        <w:tc>
          <w:tcPr>
            <w:cnfStyle w:val="00010001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4D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4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4F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0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1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2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3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4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5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6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1.1У1</w:t>
            </w:r>
          </w:p>
        </w:tc>
        <w:tc>
          <w:tcPr>
            <w:cnfStyle w:val="00010010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7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58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59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A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B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C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D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E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F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0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1.1З1</w:t>
            </w:r>
          </w:p>
        </w:tc>
        <w:tc>
          <w:tcPr>
            <w:cnfStyle w:val="00010001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1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62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63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4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</w:t>
            </w:r>
          </w:p>
        </w:tc>
        <w:tc>
          <w:tcPr>
            <w:cnfStyle w:val="000010100000"/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5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cnfStyle w:val="000001100000"/>
            <w:tcW w:w="4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6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</w:tc>
        <w:tc>
          <w:tcPr>
            <w:cnfStyle w:val="000010100000"/>
            <w:tcW w:w="8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7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Использует основные виды и содержание макетов производственной документации, связанных с профессиональной деятельностью</w:t>
            </w:r>
          </w:p>
        </w:tc>
        <w:tc>
          <w:tcPr>
            <w:cnfStyle w:val="00000110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8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В1</w:t>
            </w:r>
          </w:p>
        </w:tc>
        <w:tc>
          <w:tcPr>
            <w:cnfStyle w:val="0001001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9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6A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6B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C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D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47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E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5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F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0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У1</w:t>
            </w:r>
          </w:p>
        </w:tc>
        <w:tc>
          <w:tcPr>
            <w:cnfStyle w:val="00010001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1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документацию для решения конкретных производственных задач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72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73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4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5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4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6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7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8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З1</w:t>
            </w:r>
          </w:p>
        </w:tc>
        <w:tc>
          <w:tcPr>
            <w:cnfStyle w:val="0001001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9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7A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7B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C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</w:t>
            </w:r>
          </w:p>
        </w:tc>
        <w:tc>
          <w:tcPr>
            <w:cnfStyle w:val="000010010000"/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D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1010000"/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E">
            <w:pPr>
              <w:widowControl w:val="off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</w:tc>
        <w:tc>
          <w:tcPr>
            <w:cnfStyle w:val="000010010000"/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F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Сопоставляет технологию проведения типовых экспериментов на стандартном оборудовании в лаборатории и на производстве</w:t>
            </w:r>
          </w:p>
        </w:tc>
        <w:tc>
          <w:tcPr>
            <w:cnfStyle w:val="00000101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0">
            <w:pPr>
              <w:widowControl w:val="off"/>
              <w:spacing w:after="0" w:line="240" w:lineRule="auto"/>
              <w:ind w:firstLine="13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4.1В1</w:t>
            </w:r>
          </w:p>
        </w:tc>
        <w:tc>
          <w:tcPr>
            <w:cnfStyle w:val="00010001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1">
            <w:pPr>
              <w:widowControl w:val="off"/>
              <w:spacing w:after="0" w:line="240" w:lineRule="auto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работы с техническими приборами и устройствами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82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83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4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5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6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7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8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9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A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4.1У1</w:t>
            </w:r>
          </w:p>
        </w:tc>
        <w:tc>
          <w:tcPr>
            <w:cnfStyle w:val="00010010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B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оптимальные методики для получения экспериментальной информации</w:t>
            </w:r>
          </w:p>
        </w:tc>
      </w:tr>
      <w:tr>
        <w:trPr>
          <w:cnfStyle w:val="000000010000"/>
          <w:trHeight w:val="1702" w:hRule="atLeast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8C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8D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F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90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91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92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93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94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4.1З1</w:t>
            </w:r>
          </w:p>
        </w:tc>
        <w:tc>
          <w:tcPr>
            <w:cnfStyle w:val="000100010000"/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95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средства экспериментальных исследований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9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97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8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</w:t>
            </w:r>
          </w:p>
        </w:tc>
        <w:tc>
          <w:tcPr>
            <w:cnfStyle w:val="000010100000"/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9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4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A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</w:tc>
        <w:tc>
          <w:tcPr>
            <w:cnfStyle w:val="000010100000"/>
            <w:tcW w:w="8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B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110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C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ПК(У)-1.1В1</w:t>
            </w:r>
          </w:p>
        </w:tc>
        <w:tc>
          <w:tcPr>
            <w:cnfStyle w:val="0001001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D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9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9F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0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1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47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2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10000"/>
            <w:tcW w:w="85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3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01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4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ПК(У)-1.1У1</w:t>
            </w:r>
          </w:p>
        </w:tc>
        <w:tc>
          <w:tcPr>
            <w:cnfStyle w:val="00010001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5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A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A7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8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9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47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A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5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B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C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ПК(У)-1.1З1</w:t>
            </w:r>
          </w:p>
        </w:tc>
        <w:tc>
          <w:tcPr>
            <w:cnfStyle w:val="0001001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D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496" w:type="pct"/>
            <w:vMerge w:val="continue"/>
            <w:vAlign w:val="center"/>
          </w:tcPr>
          <w:p w14:paraId="000000A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10000"/>
            <w:tcW w:w="272" w:type="pct"/>
            <w:vMerge w:val="continue"/>
            <w:vAlign w:val="center"/>
          </w:tcPr>
          <w:p w14:paraId="000000AF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010000"/>
            <w:tcW w:w="3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0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</w:t>
            </w:r>
          </w:p>
        </w:tc>
        <w:tc>
          <w:tcPr>
            <w:cnfStyle w:val="000010010000"/>
            <w:tcW w:w="8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1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476" w:type="pct"/>
            <w:vMerge w:val="restart"/>
            <w:shd w:val="clear" w:color="auto" w:fill="auto"/>
          </w:tcPr>
          <w:p w14:paraId="000000B2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  <w:tc>
          <w:tcPr>
            <w:cnfStyle w:val="000010010000"/>
            <w:tcW w:w="8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3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101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4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ПК(У)-4.1В1</w:t>
            </w:r>
          </w:p>
        </w:tc>
        <w:tc>
          <w:tcPr>
            <w:cnfStyle w:val="00010001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5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 и газа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496" w:type="pct"/>
            <w:vMerge w:val="continue"/>
            <w:vAlign w:val="center"/>
          </w:tcPr>
          <w:p w14:paraId="000000B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100000"/>
            <w:tcW w:w="272" w:type="pct"/>
            <w:vMerge w:val="continue"/>
            <w:vAlign w:val="center"/>
          </w:tcPr>
          <w:p w14:paraId="000000B7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00001100000"/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8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9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476" w:type="pct"/>
            <w:vMerge w:val="continue"/>
            <w:shd w:val="clear" w:color="auto" w:fill="auto"/>
          </w:tcPr>
          <w:p w14:paraId="000000BA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100000"/>
            <w:tcW w:w="85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BB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1100000"/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C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ПК(У)-4.1У1</w:t>
            </w:r>
          </w:p>
        </w:tc>
        <w:tc>
          <w:tcPr>
            <w:cnfStyle w:val="0001001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D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cnfStyle w:val="010000000000"/>
          <w:trHeight w:val="255"/>
        </w:trPr>
        <w:tc>
          <w:tcPr>
            <w:cnfStyle w:val="011000000000"/>
            <w:tcW w:w="496" w:type="pct"/>
            <w:vMerge w:val="continue"/>
            <w:vAlign w:val="center"/>
          </w:tcPr>
          <w:p w14:paraId="000000B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10010000000"/>
            <w:tcW w:w="272" w:type="pct"/>
            <w:vMerge w:val="continue"/>
            <w:vAlign w:val="center"/>
          </w:tcPr>
          <w:p w14:paraId="000000BF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cnfStyle w:val="010001000000"/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C0">
            <w:pPr>
              <w:widowControl w:val="off"/>
              <w:spacing w:after="0" w:line="240" w:lineRule="auto"/>
              <w:ind w:left="-99" w:right="-120"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10010000000"/>
            <w:tcW w:w="8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C1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10001000000"/>
            <w:tcW w:w="476" w:type="pct"/>
            <w:vMerge w:val="continue"/>
            <w:shd w:val="clear" w:color="auto" w:fill="auto"/>
          </w:tcPr>
          <w:p w14:paraId="000000C2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10010000000"/>
            <w:tcW w:w="85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C3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10001000000"/>
            <w:tcW w:w="528" w:type="pct"/>
            <w:shd w:val="clear" w:color="auto" w:fill="auto"/>
          </w:tcPr>
          <w:p w14:paraId="000000C4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10100000000"/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C5">
            <w:pPr>
              <w:widowControl w:val="off"/>
              <w:spacing w:after="0" w:line="240" w:lineRule="auto"/>
              <w:ind w:firstLine="13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</w:tbl>
    <w:p w14:paraId="000000C6">
      <w:pPr>
        <w:pStyle w:val="ListParagraph"/>
        <w:ind w:left="786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2. </w:t>
      </w:r>
      <w:r>
        <w:rPr>
          <w:rFonts w:ascii="Times New Roman" w:cs="Times New Roman" w:eastAsia="Times New Roman" w:hAnsi="Times New Roman"/>
          <w:b/>
        </w:rPr>
        <w:t>П</w:t>
      </w:r>
      <w:r>
        <w:rPr>
          <w:rFonts w:ascii="Times New Roman" w:cs="Times New Roman" w:eastAsia="Times New Roman" w:hAnsi="Times New Roman"/>
          <w:b/>
        </w:rPr>
        <w:t xml:space="preserve">ланируемые результаты </w:t>
      </w:r>
      <w:r>
        <w:rPr>
          <w:rFonts w:ascii="Times New Roman" w:cs="Times New Roman" w:eastAsia="Times New Roman" w:hAnsi="Times New Roman"/>
          <w:b/>
        </w:rPr>
        <w:t xml:space="preserve">обучения </w:t>
      </w:r>
      <w:r>
        <w:rPr>
          <w:rFonts w:ascii="Times New Roman" w:cs="Times New Roman" w:eastAsia="Times New Roman" w:hAnsi="Times New Roman"/>
          <w:b/>
        </w:rPr>
        <w:t>и методы оценивания</w:t>
      </w:r>
    </w:p>
    <w:p w14:paraId="000000C7">
      <w:pPr>
        <w:pStyle w:val="ListParagraph"/>
        <w:ind w:left="786"/>
        <w:rPr>
          <w:rFonts w:ascii="Times New Roman" w:cs="Times New Roman" w:eastAsia="Times New Roman" w:hAnsi="Times New Roman"/>
          <w:b/>
          <w:highlight w:val="cyan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943"/>
        <w:gridCol w:w="5180"/>
        <w:gridCol w:w="2041"/>
        <w:gridCol w:w="3264"/>
        <w:gridCol w:w="3130"/>
      </w:tblGrid>
      <w:tr>
        <w:trPr>
          <w:tblHeader w:val="on"/>
        </w:trPr>
        <w:tc>
          <w:tcPr>
            <w:cnfStyle w:val="101000000000"/>
            <w:tcW w:w="2103" w:type="pct"/>
            <w:gridSpan w:val="2"/>
            <w:shd w:val="clear" w:color="auto" w:fill="ededed"/>
            <w:vAlign w:val="center"/>
          </w:tcPr>
          <w:p w14:paraId="000000C8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Планируемые результаты обучения </w:t>
            </w: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при прохождении практики</w:t>
            </w:r>
          </w:p>
        </w:tc>
        <w:tc>
          <w:tcPr>
            <w:cnfStyle w:val="100000000000"/>
            <w:tcW w:w="701" w:type="pct"/>
            <w:vMerge w:val="restart"/>
            <w:shd w:val="clear" w:color="auto" w:fill="ededed"/>
            <w:vAlign w:val="center"/>
          </w:tcPr>
          <w:p w14:paraId="000000C9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индикатора достижения </w:t>
            </w: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контролируемой компетенции (или ее части)</w:t>
            </w:r>
          </w:p>
        </w:tc>
        <w:tc>
          <w:tcPr>
            <w:cnfStyle w:val="100000000000"/>
            <w:tcW w:w="1121" w:type="pct"/>
            <w:vMerge w:val="restart"/>
            <w:shd w:val="clear" w:color="auto" w:fill="ededed"/>
            <w:vAlign w:val="center"/>
          </w:tcPr>
          <w:p w14:paraId="000000CA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14:paraId="000000CB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разделов (этапов)</w:t>
            </w: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практики</w:t>
            </w:r>
          </w:p>
        </w:tc>
        <w:tc>
          <w:tcPr>
            <w:cnfStyle w:val="100000000000"/>
            <w:tcW w:w="1075" w:type="pct"/>
            <w:vMerge w:val="restart"/>
            <w:shd w:val="clear" w:color="auto" w:fill="ededed"/>
            <w:vAlign w:val="center"/>
          </w:tcPr>
          <w:p w14:paraId="000000CC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Методы оценивания</w:t>
            </w: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(оценочные мероприятия)</w:t>
            </w:r>
          </w:p>
        </w:tc>
      </w:tr>
      <w:tr>
        <w:trPr>
          <w:tblHeader w:val="on"/>
        </w:trPr>
        <w:tc>
          <w:tcPr>
            <w:cnfStyle w:val="001000100000"/>
            <w:tcW w:w="324" w:type="pct"/>
            <w:shd w:val="clear" w:color="auto" w:fill="ededed"/>
            <w:vAlign w:val="center"/>
          </w:tcPr>
          <w:p w14:paraId="000000CD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cnfStyle w:val="000000100000"/>
            <w:tcW w:w="1779" w:type="pct"/>
            <w:shd w:val="clear" w:color="auto" w:fill="ededed"/>
            <w:vAlign w:val="center"/>
          </w:tcPr>
          <w:p w14:paraId="000000CE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cnfStyle w:val="000000100000"/>
            <w:tcW w:w="701" w:type="pct"/>
            <w:vMerge w:val="continue"/>
            <w:shd w:val="clear" w:color="auto" w:fill="ededed"/>
            <w:vAlign w:val="center"/>
          </w:tcPr>
          <w:p w14:paraId="000000CF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cnfStyle w:val="000000100000"/>
            <w:tcW w:w="1121" w:type="pct"/>
            <w:vMerge w:val="continue"/>
            <w:shd w:val="clear" w:color="auto" w:fill="ededed"/>
            <w:vAlign w:val="center"/>
          </w:tcPr>
          <w:p w14:paraId="000000D0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cnfStyle w:val="000000100000"/>
            <w:tcW w:w="1075" w:type="pct"/>
            <w:vMerge w:val="continue"/>
            <w:shd w:val="clear" w:color="auto" w:fill="ededed"/>
          </w:tcPr>
          <w:p w14:paraId="000000D1">
            <w:pPr>
              <w:widowControl w:val="off"/>
              <w:spacing w:after="0" w:line="240" w:lineRule="auto"/>
              <w:ind w:firstLine="13"/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>
        <w:trPr/>
        <w:tc>
          <w:tcPr>
            <w:cnfStyle w:val="001000010000"/>
            <w:tcW w:w="324" w:type="pct"/>
            <w:shd w:val="clear" w:color="auto" w:fill="auto"/>
          </w:tcPr>
          <w:p w14:paraId="000000D2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lang w:eastAsia="ja-JP"/>
              </w:rPr>
              <w:t>РП-1</w:t>
            </w:r>
          </w:p>
        </w:tc>
        <w:tc>
          <w:tcPr>
            <w:cnfStyle w:val="000000010000"/>
            <w:tcW w:w="1779" w:type="pct"/>
          </w:tcPr>
          <w:p w14:paraId="000000D3">
            <w:pPr>
              <w:widowControl w:val="off"/>
              <w:spacing w:after="0" w:line="240" w:lineRule="auto"/>
              <w:ind w:right="-74" w:hanging="2"/>
              <w:jc w:val="both"/>
              <w:rPr>
                <w:rFonts w:ascii="Times New Roman" w:cs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Применять знания правил охраны труда и промышленной безопасности в профессиональной деятельности </w:t>
            </w:r>
            <w:r>
              <w:rPr>
                <w:rFonts w:ascii="Times New Roman" w:cs="Times New Roman" w:hAnsi="Times New Roman"/>
                <w:color w:val="000000"/>
                <w:szCs w:val="24"/>
              </w:rPr>
              <w:t>в на</w:t>
            </w:r>
            <w:r>
              <w:rPr>
                <w:rFonts w:ascii="Times New Roman" w:cs="Times New Roman" w:hAnsi="Times New Roman"/>
                <w:color w:val="000000"/>
                <w:szCs w:val="24"/>
              </w:rPr>
              <w:t xml:space="preserve"> предприятиях нефтегазовой отрасли</w:t>
            </w:r>
          </w:p>
        </w:tc>
        <w:tc>
          <w:tcPr>
            <w:cnfStyle w:val="000000010000"/>
            <w:tcW w:w="701" w:type="pct"/>
          </w:tcPr>
          <w:p w14:paraId="000000D4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И.УК(У)-1.1</w:t>
            </w:r>
          </w:p>
          <w:p w14:paraId="000000D5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И.ОПК(У)-7.2</w:t>
            </w:r>
          </w:p>
          <w:p w14:paraId="000000D6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И.ОПК(У)-4.1</w:t>
            </w:r>
          </w:p>
          <w:p w14:paraId="000000D7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И.ПК(У)-1.1</w:t>
            </w:r>
          </w:p>
          <w:p w14:paraId="000000D8">
            <w:pPr>
              <w:spacing w:after="0"/>
              <w:rPr>
                <w:rFonts w:ascii="Times New Roman" w:cs="Times New Roman" w:hAnsi="Times New Roman"/>
                <w:color w:val="ff0000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И.ПК(У)-4.1</w:t>
            </w:r>
          </w:p>
          <w:p w14:paraId="000000D9">
            <w:pPr>
              <w:rPr>
                <w:rFonts w:ascii="Times New Roman" w:cs="Times New Roman" w:hAnsi="Times New Roman"/>
                <w:color w:val="ff0000"/>
              </w:rPr>
            </w:pPr>
          </w:p>
        </w:tc>
        <w:tc>
          <w:tcPr>
            <w:cnfStyle w:val="000000010000"/>
            <w:tcW w:w="1121" w:type="pct"/>
          </w:tcPr>
          <w:p w14:paraId="000000DA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Подготовительный этап Практический этап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Заключительный этап</w:t>
            </w:r>
          </w:p>
        </w:tc>
        <w:tc>
          <w:tcPr>
            <w:cnfStyle w:val="000000010000"/>
            <w:tcW w:w="1075" w:type="pct"/>
          </w:tcPr>
          <w:p w14:paraId="000000DB">
            <w:pPr>
              <w:widowControl w:val="off"/>
              <w:spacing w:after="0" w:line="240" w:lineRule="auto"/>
              <w:ind w:left="-85" w:right="-74" w:hanging="23"/>
              <w:jc w:val="both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/>
        <w:tc>
          <w:tcPr>
            <w:cnfStyle w:val="001000100000"/>
            <w:tcW w:w="324" w:type="pct"/>
            <w:shd w:val="clear" w:color="auto" w:fill="auto"/>
          </w:tcPr>
          <w:p w14:paraId="000000DC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hAnsi="Times New Roman"/>
                <w:color w:val="000000"/>
                <w:lang w:eastAsia="ja-JP"/>
              </w:rPr>
            </w:pPr>
            <w:r>
              <w:rPr>
                <w:rFonts w:ascii="Times New Roman" w:cs="Times New Roman" w:hAnsi="Times New Roman"/>
                <w:color w:val="000000"/>
                <w:lang w:eastAsia="ja-JP"/>
              </w:rPr>
              <w:t>РП-2</w:t>
            </w:r>
          </w:p>
        </w:tc>
        <w:tc>
          <w:tcPr>
            <w:cnfStyle w:val="000000100000"/>
            <w:tcW w:w="1779" w:type="pct"/>
          </w:tcPr>
          <w:p w14:paraId="000000DD">
            <w:pPr>
              <w:widowControl w:val="off"/>
              <w:spacing w:after="0" w:line="240" w:lineRule="auto"/>
              <w:ind w:right="-74" w:hanging="2"/>
              <w:jc w:val="both"/>
              <w:rPr>
                <w:rFonts w:ascii="Times New Roman" w:cs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Cs w:val="24"/>
              </w:rPr>
              <w:t>Пользоваться нормативно-технической документацией в области разработки и эксплуатации нефтяных и газовых месторождений</w:t>
            </w:r>
          </w:p>
        </w:tc>
        <w:tc>
          <w:tcPr>
            <w:cnfStyle w:val="000000100000"/>
            <w:tcW w:w="701" w:type="pct"/>
          </w:tcPr>
          <w:p w14:paraId="000000DE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И.УК(У)-1.1</w:t>
            </w:r>
          </w:p>
          <w:p w14:paraId="000000DF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И.ОПК(У)-7.2</w:t>
            </w:r>
          </w:p>
          <w:p w14:paraId="000000E0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И.ОПК(У)-4.1</w:t>
            </w:r>
          </w:p>
          <w:p w14:paraId="000000E1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И.ПК(У)-1.1</w:t>
            </w:r>
          </w:p>
          <w:p w14:paraId="000000E2">
            <w:pPr>
              <w:rPr>
                <w:rFonts w:ascii="Times New Roman" w:cs="Times New Roman" w:hAnsi="Times New Roman"/>
                <w:color w:val="ff0000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И.ПК(У)-4.1</w:t>
            </w:r>
          </w:p>
        </w:tc>
        <w:tc>
          <w:tcPr>
            <w:cnfStyle w:val="000000100000"/>
            <w:tcW w:w="1121" w:type="pct"/>
          </w:tcPr>
          <w:p w14:paraId="000000E3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Теоретический этап Практический этап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 Заключительный этап</w:t>
            </w:r>
          </w:p>
        </w:tc>
        <w:tc>
          <w:tcPr>
            <w:cnfStyle w:val="000000100000"/>
            <w:tcW w:w="1075" w:type="pct"/>
          </w:tcPr>
          <w:p w14:paraId="000000E4">
            <w:pPr>
              <w:widowControl w:val="off"/>
              <w:spacing w:after="0" w:line="240" w:lineRule="auto"/>
              <w:ind w:left="-85" w:right="-74" w:hanging="23"/>
              <w:jc w:val="both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/>
        <w:tc>
          <w:tcPr>
            <w:cnfStyle w:val="001000010000"/>
            <w:tcW w:w="324" w:type="pct"/>
            <w:shd w:val="clear" w:color="auto" w:fill="auto"/>
          </w:tcPr>
          <w:p w14:paraId="000000E5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lang w:eastAsia="ja-JP"/>
              </w:rPr>
              <w:t>РП-3</w:t>
            </w:r>
          </w:p>
        </w:tc>
        <w:tc>
          <w:tcPr>
            <w:cnfStyle w:val="000000010000"/>
            <w:tcW w:w="1779" w:type="pct"/>
          </w:tcPr>
          <w:p w14:paraId="000000E6">
            <w:pPr>
              <w:widowControl w:val="off"/>
              <w:spacing w:after="0" w:line="240" w:lineRule="auto"/>
              <w:ind w:right="-74" w:hanging="2"/>
              <w:jc w:val="both"/>
              <w:rPr>
                <w:rFonts w:ascii="Times New Roman" w:cs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Cs w:val="24"/>
              </w:rPr>
              <w:t xml:space="preserve">Применять полученные профессиональные навыки в </w:t>
            </w:r>
            <w:r>
              <w:rPr>
                <w:rFonts w:ascii="Times New Roman" w:cs="Times New Roman" w:hAnsi="Times New Roman"/>
                <w:color w:val="000000" w:themeColor="text1"/>
                <w:szCs w:val="24"/>
              </w:rPr>
              <w:t>области  разработки</w:t>
            </w:r>
            <w:r>
              <w:rPr>
                <w:rFonts w:ascii="Times New Roman" w:cs="Times New Roman" w:hAnsi="Times New Roman"/>
                <w:color w:val="000000" w:themeColor="text1"/>
                <w:szCs w:val="24"/>
              </w:rPr>
              <w:t xml:space="preserve"> нефтяных и газовых месторождений, эксплуатации и обслуживания нефтегазопромыслового оборудования в том числе в командной работе по выполнению поручений</w:t>
            </w:r>
          </w:p>
        </w:tc>
        <w:tc>
          <w:tcPr>
            <w:cnfStyle w:val="000000010000"/>
            <w:tcW w:w="701" w:type="pct"/>
          </w:tcPr>
          <w:p w14:paraId="000000E7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И.УК(У)-1.1</w:t>
            </w:r>
          </w:p>
          <w:p w14:paraId="000000E8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И.ОПК(У)-7.2</w:t>
            </w:r>
          </w:p>
          <w:p w14:paraId="000000E9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И.ОПК(У)-4.1</w:t>
            </w:r>
          </w:p>
          <w:p w14:paraId="000000EA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И.ПК(У)-1.1</w:t>
            </w:r>
          </w:p>
          <w:p w14:paraId="000000EB">
            <w:pPr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И.ПК(У)-4.1</w:t>
            </w:r>
          </w:p>
        </w:tc>
        <w:tc>
          <w:tcPr>
            <w:cnfStyle w:val="000000010000"/>
            <w:tcW w:w="1121" w:type="pct"/>
          </w:tcPr>
          <w:p w14:paraId="000000EC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Подготовительный этап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Практический этап Заключительный этап</w:t>
            </w:r>
          </w:p>
        </w:tc>
        <w:tc>
          <w:tcPr>
            <w:cnfStyle w:val="000000010000"/>
            <w:tcW w:w="1075" w:type="pct"/>
          </w:tcPr>
          <w:p w14:paraId="000000ED">
            <w:pPr>
              <w:widowControl w:val="off"/>
              <w:spacing w:after="0" w:line="240" w:lineRule="auto"/>
              <w:ind w:left="-85" w:right="-74" w:hanging="23"/>
              <w:jc w:val="both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/>
        <w:tc>
          <w:tcPr>
            <w:cnfStyle w:val="001000100000"/>
            <w:tcW w:w="324" w:type="pct"/>
            <w:shd w:val="clear" w:color="auto" w:fill="auto"/>
          </w:tcPr>
          <w:p w14:paraId="000000EE">
            <w:pPr>
              <w:widowControl w:val="off"/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lang w:eastAsia="ja-JP"/>
              </w:rPr>
              <w:t>РП-4</w:t>
            </w:r>
          </w:p>
        </w:tc>
        <w:tc>
          <w:tcPr>
            <w:cnfStyle w:val="000000100000"/>
            <w:tcW w:w="1779" w:type="pct"/>
          </w:tcPr>
          <w:p w14:paraId="000000EF">
            <w:pPr>
              <w:widowControl w:val="off"/>
              <w:tabs>
                <w:tab w:val="left" w:pos="1548"/>
              </w:tabs>
              <w:spacing w:after="0" w:line="240" w:lineRule="auto"/>
              <w:ind w:right="-74" w:hanging="2"/>
              <w:jc w:val="both"/>
              <w:rPr>
                <w:rFonts w:ascii="Times New Roman" w:cs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 w:themeColor="text1"/>
                <w:szCs w:val="24"/>
              </w:rPr>
              <w:t>Применять полученные первичные профессиональные знания и навыки применения  технологий в нефтегазовых процессах при разработке и эксплуатации месторождений</w:t>
            </w:r>
          </w:p>
        </w:tc>
        <w:tc>
          <w:tcPr>
            <w:cnfStyle w:val="000000100000"/>
            <w:tcW w:w="701" w:type="pct"/>
          </w:tcPr>
          <w:p w14:paraId="000000F0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И.УК(У)-1.1</w:t>
            </w:r>
          </w:p>
          <w:p w14:paraId="000000F1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И.ОПК(У)-7.2</w:t>
            </w:r>
          </w:p>
          <w:p w14:paraId="000000F2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И.ОПК(У)-4.1</w:t>
            </w:r>
          </w:p>
          <w:p w14:paraId="000000F3">
            <w:pPr>
              <w:spacing w:after="0"/>
              <w:rPr>
                <w:rFonts w:ascii="Times New Roman" w:cs="Times New Roman" w:hAnsi="Times New Roman"/>
                <w:color w:val="000000" w:themeColor="dk1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И.ПК(У)-1.1</w:t>
            </w:r>
          </w:p>
          <w:p w14:paraId="000000F4">
            <w:pPr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 w:themeColor="dk1"/>
              </w:rPr>
              <w:t>И.ПК(У)-4.1</w:t>
            </w:r>
          </w:p>
        </w:tc>
        <w:tc>
          <w:tcPr>
            <w:cnfStyle w:val="000000100000"/>
            <w:tcW w:w="1121" w:type="pct"/>
          </w:tcPr>
          <w:p w14:paraId="000000F5">
            <w:pPr>
              <w:widowControl w:val="off"/>
              <w:tabs>
                <w:tab w:val="left" w:pos="1548"/>
              </w:tabs>
              <w:spacing w:after="0" w:line="240" w:lineRule="auto"/>
              <w:ind w:right="-74" w:hanging="108"/>
              <w:jc w:val="center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Заключительный этап</w:t>
            </w:r>
          </w:p>
        </w:tc>
        <w:tc>
          <w:tcPr>
            <w:cnfStyle w:val="000000100000"/>
            <w:tcW w:w="1075" w:type="pct"/>
          </w:tcPr>
          <w:p w14:paraId="000000F6">
            <w:pPr>
              <w:widowControl w:val="off"/>
              <w:tabs>
                <w:tab w:val="left" w:pos="1548"/>
              </w:tabs>
              <w:spacing w:after="0" w:line="240" w:lineRule="auto"/>
              <w:ind w:left="-85" w:right="-74" w:hanging="23"/>
              <w:jc w:val="both"/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</w:tbl>
    <w:p w14:paraId="000000F7">
      <w:pPr>
        <w:spacing w:before="120"/>
        <w:ind w:left="425"/>
        <w:rPr>
          <w:rFonts w:ascii="Times New Roman" w:cs="Times New Roman" w:eastAsia="Times New Roman" w:hAnsi="Times New Roman"/>
          <w:b/>
        </w:rPr>
      </w:pPr>
    </w:p>
    <w:p w14:paraId="000000F8">
      <w:pPr>
        <w:spacing w:before="120"/>
        <w:ind w:left="425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3. </w:t>
      </w:r>
      <w:r>
        <w:rPr>
          <w:rFonts w:ascii="Times New Roman" w:cs="Times New Roman" w:eastAsia="Times New Roman" w:hAnsi="Times New Roman"/>
          <w:b/>
        </w:rPr>
        <w:t>Шкала оценивания</w:t>
      </w:r>
    </w:p>
    <w:p w14:paraId="000000F9">
      <w:pPr>
        <w:spacing w:after="0" w:line="240" w:lineRule="auto"/>
        <w:jc w:val="both"/>
        <w:rPr/>
      </w:pPr>
      <w:r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>
        <w:rPr>
          <w:rFonts w:ascii="Times New Roman" w:hAnsi="Times New Roman"/>
          <w:sz w:val="24"/>
          <w:szCs w:val="24"/>
        </w:rPr>
        <w:t xml:space="preserve"> Используется </w:t>
      </w:r>
      <w:r>
        <w:rPr>
          <w:rFonts w:ascii="Times New Roman" w:hAnsi="Times New Roman"/>
          <w:sz w:val="24"/>
          <w:szCs w:val="24"/>
        </w:rPr>
        <w:t>балльно</w:t>
      </w:r>
      <w:r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>
        <w:t xml:space="preserve">  </w:t>
      </w:r>
    </w:p>
    <w:p w14:paraId="000000FA">
      <w:pPr>
        <w:pStyle w:val="Безинтервала1"/>
        <w:rPr/>
      </w:pPr>
    </w:p>
    <w:p w14:paraId="000000FB">
      <w:pPr>
        <w:pStyle w:val="Безинтервала1"/>
        <w:jc w:val="both"/>
        <w:rPr/>
      </w:pPr>
      <w:r>
        <w:t>Распределение баллов за оценочные мероприятия устан</w:t>
      </w:r>
      <w:r>
        <w:t>овлено в</w:t>
      </w:r>
      <w:r>
        <w:t xml:space="preserve"> </w:t>
      </w:r>
      <w:r>
        <w:t>Аттестационном</w:t>
      </w:r>
      <w:r>
        <w:t xml:space="preserve"> лист</w:t>
      </w:r>
      <w:r>
        <w:t>е</w:t>
      </w:r>
      <w:r>
        <w:t xml:space="preserve"> по практике</w:t>
      </w:r>
      <w:r>
        <w:t xml:space="preserve"> (п. 6).</w:t>
      </w:r>
    </w:p>
    <w:p w14:paraId="000000FC">
      <w:pPr>
        <w:pStyle w:val="Безинтервала1"/>
        <w:jc w:val="center"/>
        <w:rPr/>
      </w:pPr>
    </w:p>
    <w:p w14:paraId="000000FD">
      <w:pPr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/>
        <w:br w:type="page"/>
      </w:r>
    </w:p>
    <w:p w14:paraId="000000FE">
      <w:pPr>
        <w:pStyle w:val="Безинтервала1"/>
        <w:jc w:val="center"/>
        <w:rPr/>
      </w:pPr>
      <w:r>
        <w:t xml:space="preserve">Шкала для оценочных мероприятий </w:t>
      </w:r>
      <w:r>
        <w:t xml:space="preserve">и </w:t>
      </w:r>
      <w:r>
        <w:rPr>
          <w:color w:val="000000" w:themeColor="text1"/>
        </w:rPr>
        <w:t>дифференцированного зачета</w:t>
      </w:r>
      <w:r>
        <w:rPr>
          <w:color w:val="000000" w:themeColor="text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14"/>
        <w:gridCol w:w="980"/>
        <w:gridCol w:w="1679"/>
        <w:gridCol w:w="1390"/>
        <w:gridCol w:w="9097"/>
      </w:tblGrid>
      <w:tr>
        <w:trPr>
          <w:trHeight w:val="277"/>
        </w:trPr>
        <w:tc>
          <w:tcPr>
            <w:cnfStyle w:val="101000000000"/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Степень сформированности результатов обучения</w:t>
            </w:r>
          </w:p>
        </w:tc>
        <w:tc>
          <w:tcPr>
            <w:cnfStyle w:val="100000000000"/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Балл</w:t>
            </w:r>
          </w:p>
        </w:tc>
        <w:tc>
          <w:tcPr>
            <w:cnfStyle w:val="100000000000"/>
            <w:tcW w:w="10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cnfStyle w:val="100000000000"/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>
        <w:trPr>
          <w:trHeight w:val="445"/>
        </w:trPr>
        <w:tc>
          <w:tcPr>
            <w:cnfStyle w:val="001000100000"/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cnfStyle w:val="000000100000"/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÷ 100</w:t>
            </w:r>
          </w:p>
        </w:tc>
        <w:tc>
          <w:tcPr>
            <w:cnfStyle w:val="000000100000"/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cnfStyle w:val="000000100000"/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00010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  <w:tc>
          <w:tcPr>
            <w:cnfStyle w:val="000000100000"/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7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>
        <w:trPr>
          <w:trHeight w:val="534"/>
        </w:trPr>
        <w:tc>
          <w:tcPr>
            <w:cnfStyle w:val="001000010000"/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 ÷ 89%</w:t>
            </w:r>
          </w:p>
        </w:tc>
        <w:tc>
          <w:tcPr>
            <w:cnfStyle w:val="000000010000"/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 ÷ 89</w:t>
            </w:r>
          </w:p>
        </w:tc>
        <w:tc>
          <w:tcPr>
            <w:cnfStyle w:val="000000010000"/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cnfStyle w:val="000000010000"/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00010B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00010000"/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C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>
        <w:trPr>
          <w:trHeight w:val="532"/>
        </w:trPr>
        <w:tc>
          <w:tcPr>
            <w:cnfStyle w:val="001000100000"/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55% ÷ 69%</w:t>
            </w:r>
          </w:p>
        </w:tc>
        <w:tc>
          <w:tcPr>
            <w:cnfStyle w:val="000000100000"/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÷ 69</w:t>
            </w:r>
          </w:p>
        </w:tc>
        <w:tc>
          <w:tcPr>
            <w:cnfStyle w:val="000000100000"/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0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Удовл</w:t>
            </w:r>
            <w:r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cnfStyle w:val="000000100000"/>
            <w:tcW w:w="4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0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1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>
        <w:trPr>
          <w:trHeight w:val="472"/>
        </w:trPr>
        <w:tc>
          <w:tcPr>
            <w:cnfStyle w:val="001000010000"/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 ÷ 54%</w:t>
            </w:r>
          </w:p>
        </w:tc>
        <w:tc>
          <w:tcPr>
            <w:cnfStyle w:val="000000010000"/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÷ 54</w:t>
            </w:r>
          </w:p>
        </w:tc>
        <w:tc>
          <w:tcPr>
            <w:cnfStyle w:val="000000010000"/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Неудовл</w:t>
            </w:r>
            <w:r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cnfStyle w:val="000000010000"/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cnfStyle w:val="000000010000"/>
            <w:tcW w:w="3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6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00000117">
      <w:pPr>
        <w:pStyle w:val="ListParagraph"/>
        <w:ind w:left="786"/>
        <w:rPr>
          <w:rFonts w:ascii="Times New Roman" w:cs="Times New Roman" w:eastAsia="Times New Roman" w:hAnsi="Times New Roman"/>
          <w:b/>
        </w:rPr>
      </w:pPr>
    </w:p>
    <w:p w14:paraId="00000118">
      <w:pPr>
        <w:pStyle w:val="ListParagraph"/>
        <w:ind w:left="786"/>
        <w:rPr>
          <w:rFonts w:ascii="Times New Roman" w:cs="Times New Roman" w:eastAsia="Times New Roman" w:hAnsi="Times New Roman"/>
          <w:b/>
        </w:rPr>
      </w:pPr>
    </w:p>
    <w:p w14:paraId="00000119">
      <w:pPr>
        <w:ind w:left="426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4. </w:t>
      </w:r>
      <w:r>
        <w:rPr>
          <w:rFonts w:ascii="Times New Roman" w:cs="Times New Roman" w:eastAsia="Times New Roman" w:hAnsi="Times New Roman"/>
          <w:b/>
        </w:rPr>
        <w:t xml:space="preserve">Перечень типовых заданий 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/>
      </w:tblPr>
      <w:tblGrid>
        <w:gridCol w:w="649"/>
        <w:gridCol w:w="2865"/>
        <w:gridCol w:w="11045"/>
      </w:tblGrid>
      <w:tr>
        <w:trPr>
          <w:tblHeader w:val="on"/>
        </w:trPr>
        <w:tc>
          <w:tcPr>
            <w:cnfStyle w:val="101000000000"/>
            <w:tcW w:w="223" w:type="pct"/>
            <w:shd w:val="clear" w:color="auto" w:fill="f2f2f2" w:themeFill="background1" w:themeFillShade="f2"/>
          </w:tcPr>
          <w:p w14:paraId="0000011A">
            <w:pPr>
              <w:jc w:val="center"/>
              <w:rPr>
                <w:rFonts w:ascii="Times New Roman" w:cs="Times New Roman" w:eastAsia="Times New Roman" w:hAnsi="Times New Roman"/>
                <w:b/>
                <w:sz w:val="16"/>
                <w:szCs w:val="24"/>
              </w:rPr>
            </w:pPr>
          </w:p>
        </w:tc>
        <w:tc>
          <w:tcPr>
            <w:cnfStyle w:val="100000000000"/>
            <w:tcW w:w="984" w:type="pct"/>
            <w:shd w:val="clear" w:color="auto" w:fill="f2f2f2" w:themeFill="background1" w:themeFillShade="f2"/>
          </w:tcPr>
          <w:p w14:paraId="0000011B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</w:rPr>
              <w:t>Оценочные мероприятия</w:t>
            </w:r>
          </w:p>
        </w:tc>
        <w:tc>
          <w:tcPr>
            <w:cnfStyle w:val="100000000000"/>
            <w:tcW w:w="3793" w:type="pct"/>
            <w:shd w:val="clear" w:color="auto" w:fill="f2f2f2" w:themeFill="background1" w:themeFillShade="f2"/>
          </w:tcPr>
          <w:p w14:paraId="0000011C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</w:rPr>
              <w:t xml:space="preserve">Примеры </w:t>
            </w:r>
            <w:r>
              <w:rPr>
                <w:rFonts w:ascii="Times New Roman" w:cs="Times New Roman" w:eastAsia="Times New Roman" w:hAnsi="Times New Roman"/>
                <w:b/>
                <w:color w:val="000000" w:themeColor="text1"/>
              </w:rPr>
              <w:t xml:space="preserve">типовых </w:t>
            </w:r>
            <w:r>
              <w:rPr>
                <w:rFonts w:ascii="Times New Roman" w:cs="Times New Roman" w:eastAsia="Times New Roman" w:hAnsi="Times New Roman"/>
                <w:b/>
                <w:color w:val="000000" w:themeColor="text1"/>
              </w:rPr>
              <w:t>контрольных заданий</w:t>
            </w:r>
          </w:p>
        </w:tc>
      </w:tr>
      <w:tr>
        <w:trPr/>
        <w:tc>
          <w:tcPr>
            <w:cnfStyle w:val="001000100000"/>
            <w:tcW w:w="223" w:type="pct"/>
          </w:tcPr>
          <w:p w14:paraId="0000011D">
            <w:pPr>
              <w:pStyle w:val="ListParagraph"/>
              <w:numPr>
                <w:ilvl w:val="0"/>
                <w:numId w:val="2"/>
              </w:num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984" w:type="pct"/>
          </w:tcPr>
          <w:p w14:paraId="0000011E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Защита отчета по практике</w:t>
            </w:r>
          </w:p>
        </w:tc>
        <w:tc>
          <w:tcPr>
            <w:cnfStyle w:val="000000100000"/>
            <w:tcW w:w="3793" w:type="pct"/>
          </w:tcPr>
          <w:p w14:paraId="0000011F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Примерный перечень контрольных вопросов:</w:t>
            </w:r>
          </w:p>
          <w:p w14:paraId="00000120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1. Технологический процесс добычи нефти и газа.</w:t>
            </w:r>
          </w:p>
          <w:p w14:paraId="00000121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2. Основные виды технологического оборудования.</w:t>
            </w:r>
          </w:p>
          <w:p w14:paraId="00000122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3. Режимы работы нефтепромыслового оборудования.</w:t>
            </w:r>
          </w:p>
          <w:p w14:paraId="00000123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4. Основные технологические характеристики оборудования.</w:t>
            </w:r>
          </w:p>
          <w:p w14:paraId="00000124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5. Порядок (регламент) организации ремонта технологического оборудования на предприятии.</w:t>
            </w:r>
          </w:p>
          <w:p w14:paraId="00000125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6. Какие внутренние документы регламентируют технологические процессы производства.</w:t>
            </w:r>
          </w:p>
          <w:p w14:paraId="00000126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7. Устройство, назначение и принцип действия технологического оборудования</w:t>
            </w:r>
          </w:p>
          <w:p w14:paraId="00000127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>
              <w:rPr>
                <w:rFonts w:ascii="Times New Roman" w:cs="Times New Roman" w:eastAsia="Times New Roman" w:hAnsi="Times New Roman"/>
              </w:rPr>
              <w:t>8. Правила промышленной безопасности и охраны труда при проведении ремонтных работ технологического оборудования.</w:t>
            </w:r>
          </w:p>
        </w:tc>
      </w:tr>
      <w:tr>
        <w:trPr/>
        <w:tc>
          <w:tcPr>
            <w:cnfStyle w:val="001000010000"/>
            <w:tcW w:w="223" w:type="pct"/>
          </w:tcPr>
          <w:p w14:paraId="00000128">
            <w:pPr>
              <w:pStyle w:val="ListParagraph"/>
              <w:numPr>
                <w:ilvl w:val="0"/>
                <w:numId w:val="2"/>
              </w:num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010000"/>
            <w:tcW w:w="984" w:type="pct"/>
          </w:tcPr>
          <w:p w14:paraId="00000129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010000"/>
            <w:tcW w:w="3793" w:type="pct"/>
          </w:tcPr>
          <w:p w14:paraId="0000012A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0000012B">
      <w:pPr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br w:type="page"/>
      </w:r>
    </w:p>
    <w:p w14:paraId="0000012C">
      <w:pPr>
        <w:ind w:left="426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5. </w:t>
      </w:r>
      <w:r>
        <w:rPr>
          <w:rFonts w:ascii="Times New Roman" w:cs="Times New Roman" w:eastAsia="Times New Roman" w:hAnsi="Times New Roman"/>
          <w:b/>
        </w:rPr>
        <w:t>Методические указания по процедуре оценивания</w:t>
      </w:r>
    </w:p>
    <w:p w14:paraId="0000012D">
      <w:pPr>
        <w:spacing w:after="0" w:line="240" w:lineRule="auto"/>
        <w:rPr>
          <w:rFonts w:ascii="Times New Roman" w:cs="Times New Roman" w:eastAsia="Times New Roman" w:hAnsi="Times New Roman"/>
          <w:i/>
          <w:color w:val="7030a0"/>
        </w:rPr>
      </w:pPr>
    </w:p>
    <w:tbl>
      <w:tblPr>
        <w:tblStyle w:val="TableGrid"/>
        <w:tblW w:w="5000" w:type="pct"/>
        <w:tblLook w:val="04A0"/>
      </w:tblPr>
      <w:tblGrid>
        <w:gridCol w:w="777"/>
        <w:gridCol w:w="2026"/>
        <w:gridCol w:w="11756"/>
      </w:tblGrid>
      <w:tr>
        <w:trPr>
          <w:tblHeader w:val="on"/>
        </w:trPr>
        <w:tc>
          <w:tcPr>
            <w:cnfStyle w:val="101000000000"/>
            <w:tcW w:w="267" w:type="pct"/>
            <w:shd w:val="clear" w:color="auto" w:fill="f2f2f2" w:themeFill="background1" w:themeFillShade="f2"/>
          </w:tcPr>
          <w:p w14:paraId="0000012E">
            <w:pPr>
              <w:ind w:left="-142"/>
              <w:jc w:val="center"/>
              <w:rPr>
                <w:rFonts w:ascii="Times New Roman" w:cs="Times New Roman" w:eastAsia="Times New Roman" w:hAnsi="Times New Roman"/>
                <w:b/>
              </w:rPr>
            </w:pPr>
          </w:p>
        </w:tc>
        <w:tc>
          <w:tcPr>
            <w:cnfStyle w:val="100000000000"/>
            <w:tcW w:w="696" w:type="pct"/>
            <w:shd w:val="clear" w:color="auto" w:fill="f2f2f2" w:themeFill="background1" w:themeFillShade="f2"/>
          </w:tcPr>
          <w:p w14:paraId="0000012F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Оценочные мероприятия</w:t>
            </w:r>
          </w:p>
        </w:tc>
        <w:tc>
          <w:tcPr>
            <w:cnfStyle w:val="100000000000"/>
            <w:tcW w:w="4037" w:type="pct"/>
            <w:shd w:val="clear" w:color="auto" w:fill="f2f2f2" w:themeFill="background1" w:themeFillShade="f2"/>
          </w:tcPr>
          <w:p w14:paraId="00000130">
            <w:pPr>
              <w:jc w:val="center"/>
              <w:rPr>
                <w:rFonts w:ascii="Times New Roman" w:cs="Times New Roman" w:eastAsia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>
        <w:trPr/>
        <w:tc>
          <w:tcPr>
            <w:cnfStyle w:val="001000100000"/>
            <w:tcW w:w="267" w:type="pct"/>
          </w:tcPr>
          <w:p w14:paraId="0000013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696" w:type="pct"/>
          </w:tcPr>
          <w:p w14:paraId="00000132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4037" w:type="pct"/>
          </w:tcPr>
          <w:p w14:paraId="00000133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Руководитель практики от ТПУ проводит оценивание на основании Отчета по практике:</w:t>
            </w:r>
          </w:p>
          <w:p w14:paraId="00000134"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 xml:space="preserve">соответствие отчета о практике по структуре и содержанию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 xml:space="preserve">требованиям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(Положение о практике)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0000135"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выполнение индивидуального задания практики в полном объеме;</w:t>
            </w:r>
          </w:p>
          <w:p w14:paraId="00000136"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 xml:space="preserve">степень соответствия выполненных работ содержанию заявленных 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результатов обучения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0000137">
            <w:pPr>
              <w:pStyle w:val="ListParagraph"/>
              <w:numPr>
                <w:ilvl w:val="0"/>
                <w:numId w:val="9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четкость и техническая правильность оформле</w:t>
            </w: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ния отчета и дневника практики;</w:t>
            </w:r>
          </w:p>
          <w:p w14:paraId="00000138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>
        <w:trPr/>
        <w:tc>
          <w:tcPr>
            <w:cnfStyle w:val="001000010000"/>
            <w:tcW w:w="267" w:type="pct"/>
          </w:tcPr>
          <w:p w14:paraId="00000139">
            <w:pPr>
              <w:pStyle w:val="ListParagraph"/>
              <w:numPr>
                <w:ilvl w:val="0"/>
                <w:numId w:val="3"/>
              </w:num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010000"/>
            <w:tcW w:w="696" w:type="pct"/>
          </w:tcPr>
          <w:p w14:paraId="0000013A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Защита отчета по практике</w:t>
            </w:r>
          </w:p>
        </w:tc>
        <w:tc>
          <w:tcPr>
            <w:cnfStyle w:val="000000010000"/>
            <w:tcW w:w="4037" w:type="pct"/>
          </w:tcPr>
          <w:p w14:paraId="0000013B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0000013C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На защите:</w:t>
            </w:r>
          </w:p>
          <w:p w14:paraId="0000013D">
            <w:pPr>
              <w:pStyle w:val="ListParagraph"/>
              <w:numPr>
                <w:ilvl w:val="0"/>
                <w:numId w:val="8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3E">
            <w:pPr>
              <w:pStyle w:val="ListParagraph"/>
              <w:numPr>
                <w:ilvl w:val="0"/>
                <w:numId w:val="8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члены комиссии задают обучающемуся вопросы и заслушивают ответы;</w:t>
            </w:r>
          </w:p>
          <w:p w14:paraId="0000013F">
            <w:pPr>
              <w:pStyle w:val="ListParagraph"/>
              <w:numPr>
                <w:ilvl w:val="0"/>
                <w:numId w:val="8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40">
            <w:pPr>
              <w:pStyle w:val="ListParagraph"/>
              <w:numPr>
                <w:ilvl w:val="0"/>
                <w:numId w:val="8"/>
              </w:numP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2"/>
                <w:szCs w:val="22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00000141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>Защита может проходить в публичной или индивидуальной форме.</w:t>
            </w:r>
          </w:p>
          <w:p w14:paraId="00000142">
            <w:pPr>
              <w:rPr>
                <w:rFonts w:ascii="Times New Roman" w:cs="Times New Roman" w:eastAsia="Times New Roman" w:hAnsi="Times New Roman"/>
                <w:color w:val="000000" w:themeColor="text1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14:paraId="00000143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</w:p>
    <w:p w14:paraId="00000144">
      <w:pPr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br w:type="page"/>
      </w:r>
    </w:p>
    <w:p w14:paraId="00000145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Аттестационный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лист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по практике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/>
      </w:tblPr>
      <w:tblGrid>
        <w:gridCol w:w="1774"/>
        <w:gridCol w:w="1395"/>
        <w:gridCol w:w="715"/>
        <w:gridCol w:w="1914"/>
        <w:gridCol w:w="1921"/>
        <w:gridCol w:w="1942"/>
        <w:gridCol w:w="1931"/>
        <w:gridCol w:w="1921"/>
        <w:gridCol w:w="1047"/>
      </w:tblGrid>
      <w:tr>
        <w:trPr>
          <w:tblHeader w:val="on"/>
        </w:trPr>
        <w:tc>
          <w:tcPr>
            <w:cnfStyle w:val="101000000000"/>
            <w:tcW w:w="610" w:type="pct"/>
            <w:vAlign w:val="center"/>
          </w:tcPr>
          <w:p w14:paraId="00000146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  <w:t>Оценочное мероприятие</w:t>
            </w:r>
          </w:p>
        </w:tc>
        <w:tc>
          <w:tcPr>
            <w:cnfStyle w:val="100000000000"/>
            <w:tcW w:w="479" w:type="pct"/>
            <w:vAlign w:val="center"/>
          </w:tcPr>
          <w:p w14:paraId="00000147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  <w:t>Оценивание проводит</w:t>
            </w:r>
          </w:p>
        </w:tc>
        <w:tc>
          <w:tcPr>
            <w:cnfStyle w:val="100000000000"/>
            <w:tcW w:w="246" w:type="pct"/>
            <w:vAlign w:val="center"/>
          </w:tcPr>
          <w:p w14:paraId="00000148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  <w:t>Доля в оценке</w:t>
            </w:r>
          </w:p>
        </w:tc>
        <w:tc>
          <w:tcPr>
            <w:cnfStyle w:val="100000000000"/>
            <w:tcW w:w="658" w:type="pct"/>
            <w:vAlign w:val="center"/>
          </w:tcPr>
          <w:p w14:paraId="00000149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cnfStyle w:val="100000000000"/>
            <w:tcW w:w="661" w:type="pct"/>
          </w:tcPr>
          <w:p w14:paraId="0000014A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РП-1 Применять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знания правил охраны труда и промышленной безопасности в профессиональной деятельности в на предприятиях нефтегазовой отрасли</w:t>
            </w:r>
          </w:p>
        </w:tc>
        <w:tc>
          <w:tcPr>
            <w:cnfStyle w:val="100000000000"/>
            <w:tcW w:w="660" w:type="pct"/>
          </w:tcPr>
          <w:p w14:paraId="0000014B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РП-2 Пользоваться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нормативно-технической документацией в области разработки и эксплуатации нефтяных и газовых месторождений</w:t>
            </w:r>
          </w:p>
        </w:tc>
        <w:tc>
          <w:tcPr>
            <w:cnfStyle w:val="100000000000"/>
            <w:tcW w:w="664" w:type="pct"/>
          </w:tcPr>
          <w:p w14:paraId="0000014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РП-3 Применять полученные профессиональные навыки 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области  разработки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нефтяных и газовых месторождений, эксплуатации и обслуживания нефтегазопромыслового оборудования в том числе в командной работе по выполнению поручений</w:t>
            </w:r>
          </w:p>
        </w:tc>
        <w:tc>
          <w:tcPr>
            <w:cnfStyle w:val="100000000000"/>
            <w:tcW w:w="661" w:type="pct"/>
          </w:tcPr>
          <w:p w14:paraId="0000014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РП-4 Применять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полученные первичные профессиональные знания и навыки в области современных технологий нефтегазовых процессов при разработке и эксплуатации месторождений</w:t>
            </w:r>
          </w:p>
        </w:tc>
        <w:tc>
          <w:tcPr>
            <w:cnfStyle w:val="100000000000"/>
            <w:tcW w:w="360" w:type="pct"/>
          </w:tcPr>
          <w:p w14:paraId="0000014E">
            <w:pPr>
              <w:rPr>
                <w:rFonts w:ascii="Times New Roman" w:cs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16"/>
                <w:szCs w:val="16"/>
              </w:rPr>
              <w:t>Балл по всем результатам</w:t>
            </w:r>
          </w:p>
        </w:tc>
      </w:tr>
      <w:tr>
        <w:trPr>
          <w:tblHeader w:val="on"/>
        </w:trPr>
        <w:tc>
          <w:tcPr>
            <w:cnfStyle w:val="001000100000"/>
            <w:tcW w:w="610" w:type="pct"/>
            <w:vMerge w:val="restart"/>
          </w:tcPr>
          <w:p w14:paraId="0000014F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479" w:type="pct"/>
            <w:vMerge w:val="restart"/>
          </w:tcPr>
          <w:p w14:paraId="00000150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Руководитель практики от ТПУ</w:t>
            </w:r>
          </w:p>
        </w:tc>
        <w:tc>
          <w:tcPr>
            <w:cnfStyle w:val="000000100000"/>
            <w:tcW w:w="246" w:type="pct"/>
            <w:vMerge w:val="restart"/>
          </w:tcPr>
          <w:p w14:paraId="00000151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cnfStyle w:val="000000100000"/>
            <w:tcW w:w="658" w:type="pct"/>
          </w:tcPr>
          <w:p w14:paraId="00000152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cnfStyle w:val="000000100000"/>
            <w:tcW w:w="661" w:type="pct"/>
            <w:vAlign w:val="center"/>
          </w:tcPr>
          <w:p w14:paraId="0000015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660" w:type="pct"/>
            <w:vAlign w:val="center"/>
          </w:tcPr>
          <w:p w14:paraId="00000154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cnfStyle w:val="000000100000"/>
            <w:tcW w:w="664" w:type="pct"/>
            <w:vAlign w:val="center"/>
          </w:tcPr>
          <w:p w14:paraId="0000015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661" w:type="pct"/>
            <w:vAlign w:val="center"/>
          </w:tcPr>
          <w:p w14:paraId="0000015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360" w:type="pct"/>
            <w:vAlign w:val="center"/>
          </w:tcPr>
          <w:p w14:paraId="0000015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1,0</w:t>
            </w:r>
          </w:p>
        </w:tc>
      </w:tr>
      <w:tr>
        <w:trPr>
          <w:tblHeader w:val="on"/>
        </w:trPr>
        <w:tc>
          <w:tcPr>
            <w:cnfStyle w:val="001000010000"/>
            <w:tcW w:w="610" w:type="pct"/>
            <w:vMerge w:val="continue"/>
          </w:tcPr>
          <w:p w14:paraId="00000158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479" w:type="pct"/>
            <w:vMerge w:val="continue"/>
          </w:tcPr>
          <w:p w14:paraId="00000159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246" w:type="pct"/>
            <w:vMerge w:val="continue"/>
          </w:tcPr>
          <w:p w14:paraId="0000015A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58" w:type="pct"/>
          </w:tcPr>
          <w:p w14:paraId="0000015B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cnfStyle w:val="000000010000"/>
            <w:tcW w:w="661" w:type="pct"/>
            <w:vAlign w:val="center"/>
          </w:tcPr>
          <w:p w14:paraId="0000015C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cnfStyle w:val="000000010000"/>
            <w:tcW w:w="660" w:type="pct"/>
            <w:vAlign w:val="center"/>
          </w:tcPr>
          <w:p w14:paraId="0000015D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cnfStyle w:val="000000010000"/>
            <w:tcW w:w="664" w:type="pct"/>
            <w:vAlign w:val="center"/>
          </w:tcPr>
          <w:p w14:paraId="0000015E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cnfStyle w:val="000000010000"/>
            <w:tcW w:w="661" w:type="pct"/>
            <w:vAlign w:val="center"/>
          </w:tcPr>
          <w:p w14:paraId="0000015F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cnfStyle w:val="000000010000"/>
            <w:tcW w:w="360" w:type="pct"/>
            <w:vAlign w:val="center"/>
          </w:tcPr>
          <w:p w14:paraId="00000160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100</w:t>
            </w:r>
          </w:p>
        </w:tc>
      </w:tr>
      <w:tr>
        <w:trPr>
          <w:tblHeader w:val="on"/>
        </w:trPr>
        <w:tc>
          <w:tcPr>
            <w:cnfStyle w:val="001000100000"/>
            <w:tcW w:w="610" w:type="pct"/>
            <w:vMerge w:val="continue"/>
          </w:tcPr>
          <w:p w14:paraId="00000161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479" w:type="pct"/>
            <w:vMerge w:val="continue"/>
          </w:tcPr>
          <w:p w14:paraId="00000162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246" w:type="pct"/>
            <w:vMerge w:val="continue"/>
          </w:tcPr>
          <w:p w14:paraId="00000163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58" w:type="pct"/>
            <w:tcBorders>
              <w:bottom w:val="single" w:color="auto" w:sz="4" w:space="0"/>
            </w:tcBorders>
          </w:tcPr>
          <w:p w14:paraId="00000164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 xml:space="preserve">Степень сформированности результата в диапазоне </w:t>
            </w:r>
            <w:r>
              <w:rPr>
                <w:rFonts w:ascii="Times New Roman" w:cs="Times New Roman" w:hAnsi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cnfStyle w:val="000000100000"/>
            <w:tcW w:w="661" w:type="pct"/>
            <w:tcBorders>
              <w:bottom w:val="single" w:color="auto" w:sz="4" w:space="0"/>
            </w:tcBorders>
            <w:vAlign w:val="center"/>
          </w:tcPr>
          <w:p w14:paraId="00000165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0" w:type="pct"/>
            <w:tcBorders>
              <w:bottom w:val="single" w:color="auto" w:sz="4" w:space="0"/>
            </w:tcBorders>
            <w:vAlign w:val="center"/>
          </w:tcPr>
          <w:p w14:paraId="00000166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4" w:type="pct"/>
            <w:tcBorders>
              <w:bottom w:val="single" w:color="auto" w:sz="4" w:space="0"/>
            </w:tcBorders>
            <w:vAlign w:val="center"/>
          </w:tcPr>
          <w:p w14:paraId="00000167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1" w:type="pct"/>
            <w:tcBorders>
              <w:bottom w:val="single" w:color="auto" w:sz="4" w:space="0"/>
            </w:tcBorders>
            <w:vAlign w:val="center"/>
          </w:tcPr>
          <w:p w14:paraId="00000168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360" w:type="pct"/>
            <w:tcBorders>
              <w:bottom w:val="single" w:color="auto" w:sz="4" w:space="0"/>
            </w:tcBorders>
            <w:vAlign w:val="center"/>
          </w:tcPr>
          <w:p w14:paraId="00000169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>
        <w:trPr>
          <w:tblHeader w:val="on"/>
        </w:trPr>
        <w:tc>
          <w:tcPr>
            <w:cnfStyle w:val="001000010000"/>
            <w:tcW w:w="610" w:type="pct"/>
            <w:vMerge w:val="continue"/>
          </w:tcPr>
          <w:p w14:paraId="0000016A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479" w:type="pct"/>
            <w:vMerge w:val="continue"/>
          </w:tcPr>
          <w:p w14:paraId="0000016B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246" w:type="pct"/>
            <w:vMerge w:val="continue"/>
          </w:tcPr>
          <w:p w14:paraId="0000016C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58" w:type="pct"/>
            <w:shd w:val="clear" w:color="auto" w:fill="c5d9f1" w:themeFill="text2" w:themeFillTint="33"/>
          </w:tcPr>
          <w:p w14:paraId="0000016D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661" w:type="pct"/>
            <w:shd w:val="clear" w:color="auto" w:fill="c5d9f1" w:themeFill="text2" w:themeFillTint="33"/>
            <w:vAlign w:val="center"/>
          </w:tcPr>
          <w:p w14:paraId="0000016E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0" w:type="pct"/>
            <w:shd w:val="clear" w:color="auto" w:fill="c5d9f1" w:themeFill="text2" w:themeFillTint="33"/>
            <w:vAlign w:val="center"/>
          </w:tcPr>
          <w:p w14:paraId="0000016F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4" w:type="pct"/>
            <w:shd w:val="clear" w:color="auto" w:fill="c5d9f1" w:themeFill="text2" w:themeFillTint="33"/>
            <w:vAlign w:val="center"/>
          </w:tcPr>
          <w:p w14:paraId="00000170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1" w:type="pct"/>
            <w:shd w:val="clear" w:color="auto" w:fill="c5d9f1" w:themeFill="text2" w:themeFillTint="33"/>
            <w:vAlign w:val="center"/>
          </w:tcPr>
          <w:p w14:paraId="00000171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360" w:type="pct"/>
            <w:shd w:val="clear" w:color="auto" w:fill="c5d9f1" w:themeFill="text2" w:themeFillTint="33"/>
            <w:vAlign w:val="center"/>
          </w:tcPr>
          <w:p w14:paraId="00000172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>
        <w:trPr>
          <w:tblHeader w:val="on"/>
        </w:trPr>
        <w:tc>
          <w:tcPr>
            <w:cnfStyle w:val="001000100000"/>
            <w:tcW w:w="610" w:type="pct"/>
            <w:vMerge w:val="restart"/>
          </w:tcPr>
          <w:p w14:paraId="00000173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Защита отчета по практике</w:t>
            </w:r>
          </w:p>
        </w:tc>
        <w:tc>
          <w:tcPr>
            <w:cnfStyle w:val="000000100000"/>
            <w:tcW w:w="479" w:type="pct"/>
            <w:vMerge w:val="restart"/>
          </w:tcPr>
          <w:p w14:paraId="00000174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Члены комиссии</w:t>
            </w:r>
          </w:p>
        </w:tc>
        <w:tc>
          <w:tcPr>
            <w:cnfStyle w:val="000000100000"/>
            <w:tcW w:w="246" w:type="pct"/>
            <w:vMerge w:val="restart"/>
          </w:tcPr>
          <w:p w14:paraId="00000175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cnfStyle w:val="000000100000"/>
            <w:tcW w:w="658" w:type="pct"/>
          </w:tcPr>
          <w:p w14:paraId="00000176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cnfStyle w:val="000000100000"/>
            <w:tcW w:w="661" w:type="pct"/>
            <w:vAlign w:val="center"/>
          </w:tcPr>
          <w:p w14:paraId="0000017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660" w:type="pct"/>
            <w:vAlign w:val="center"/>
          </w:tcPr>
          <w:p w14:paraId="00000178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cnfStyle w:val="000000100000"/>
            <w:tcW w:w="664" w:type="pct"/>
            <w:vAlign w:val="center"/>
          </w:tcPr>
          <w:p w14:paraId="0000017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661" w:type="pct"/>
            <w:vAlign w:val="center"/>
          </w:tcPr>
          <w:p w14:paraId="0000017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cnfStyle w:val="000000100000"/>
            <w:tcW w:w="360" w:type="pct"/>
            <w:vAlign w:val="center"/>
          </w:tcPr>
          <w:p w14:paraId="0000017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1,0</w:t>
            </w:r>
          </w:p>
        </w:tc>
      </w:tr>
      <w:tr>
        <w:trPr>
          <w:tblHeader w:val="on"/>
        </w:trPr>
        <w:tc>
          <w:tcPr>
            <w:cnfStyle w:val="001000010000"/>
            <w:tcW w:w="610" w:type="pct"/>
            <w:vMerge w:val="continue"/>
          </w:tcPr>
          <w:p w14:paraId="0000017C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479" w:type="pct"/>
            <w:vMerge w:val="continue"/>
          </w:tcPr>
          <w:p w14:paraId="0000017D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246" w:type="pct"/>
            <w:vMerge w:val="continue"/>
          </w:tcPr>
          <w:p w14:paraId="0000017E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58" w:type="pct"/>
          </w:tcPr>
          <w:p w14:paraId="0000017F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cnfStyle w:val="000000010000"/>
            <w:tcW w:w="661" w:type="pct"/>
            <w:vAlign w:val="center"/>
          </w:tcPr>
          <w:p w14:paraId="00000180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cnfStyle w:val="000000010000"/>
            <w:tcW w:w="660" w:type="pct"/>
            <w:vAlign w:val="center"/>
          </w:tcPr>
          <w:p w14:paraId="00000181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40</w:t>
            </w:r>
          </w:p>
        </w:tc>
        <w:tc>
          <w:tcPr>
            <w:cnfStyle w:val="000000010000"/>
            <w:tcW w:w="664" w:type="pct"/>
            <w:vAlign w:val="center"/>
          </w:tcPr>
          <w:p w14:paraId="00000182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cnfStyle w:val="000000010000"/>
            <w:tcW w:w="661" w:type="pct"/>
            <w:vAlign w:val="center"/>
          </w:tcPr>
          <w:p w14:paraId="00000183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cnfStyle w:val="000000010000"/>
            <w:tcW w:w="360" w:type="pct"/>
            <w:vAlign w:val="center"/>
          </w:tcPr>
          <w:p w14:paraId="00000184">
            <w:pPr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100</w:t>
            </w:r>
          </w:p>
        </w:tc>
      </w:tr>
      <w:tr>
        <w:trPr>
          <w:tblHeader w:val="on"/>
        </w:trPr>
        <w:tc>
          <w:tcPr>
            <w:cnfStyle w:val="001000100000"/>
            <w:tcW w:w="610" w:type="pct"/>
            <w:vMerge w:val="continue"/>
          </w:tcPr>
          <w:p w14:paraId="00000185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479" w:type="pct"/>
            <w:vMerge w:val="continue"/>
          </w:tcPr>
          <w:p w14:paraId="00000186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246" w:type="pct"/>
            <w:vMerge w:val="continue"/>
          </w:tcPr>
          <w:p w14:paraId="00000187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58" w:type="pct"/>
            <w:tcBorders>
              <w:bottom w:val="single" w:color="auto" w:sz="4" w:space="0"/>
            </w:tcBorders>
          </w:tcPr>
          <w:p w14:paraId="00000188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 xml:space="preserve">Степень сформированности результата в диапазоне </w:t>
            </w:r>
            <w:r>
              <w:rPr>
                <w:rFonts w:ascii="Times New Roman" w:cs="Times New Roman" w:hAnsi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cnfStyle w:val="000000100000"/>
            <w:tcW w:w="661" w:type="pct"/>
            <w:tcBorders>
              <w:bottom w:val="single" w:color="auto" w:sz="4" w:space="0"/>
            </w:tcBorders>
            <w:vAlign w:val="center"/>
          </w:tcPr>
          <w:p w14:paraId="00000189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0" w:type="pct"/>
            <w:tcBorders>
              <w:bottom w:val="single" w:color="auto" w:sz="4" w:space="0"/>
            </w:tcBorders>
            <w:vAlign w:val="center"/>
          </w:tcPr>
          <w:p w14:paraId="0000018A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4" w:type="pct"/>
            <w:tcBorders>
              <w:bottom w:val="single" w:color="auto" w:sz="4" w:space="0"/>
            </w:tcBorders>
            <w:vAlign w:val="center"/>
          </w:tcPr>
          <w:p w14:paraId="0000018B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1" w:type="pct"/>
            <w:tcBorders>
              <w:bottom w:val="single" w:color="auto" w:sz="4" w:space="0"/>
            </w:tcBorders>
            <w:vAlign w:val="center"/>
          </w:tcPr>
          <w:p w14:paraId="0000018C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360" w:type="pct"/>
            <w:tcBorders>
              <w:bottom w:val="single" w:color="auto" w:sz="4" w:space="0"/>
            </w:tcBorders>
            <w:vAlign w:val="center"/>
          </w:tcPr>
          <w:p w14:paraId="0000018D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>
        <w:trPr>
          <w:tblHeader w:val="on"/>
        </w:trPr>
        <w:tc>
          <w:tcPr>
            <w:cnfStyle w:val="001000010000"/>
            <w:tcW w:w="610" w:type="pct"/>
            <w:vMerge w:val="continue"/>
          </w:tcPr>
          <w:p w14:paraId="0000018E">
            <w:pP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479" w:type="pct"/>
            <w:vMerge w:val="continue"/>
          </w:tcPr>
          <w:p w14:paraId="0000018F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246" w:type="pct"/>
            <w:vMerge w:val="continue"/>
          </w:tcPr>
          <w:p w14:paraId="00000190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58" w:type="pct"/>
            <w:shd w:val="clear" w:color="auto" w:fill="c5d9f1" w:themeFill="text2" w:themeFillTint="33"/>
          </w:tcPr>
          <w:p w14:paraId="00000191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661" w:type="pct"/>
            <w:shd w:val="clear" w:color="auto" w:fill="c5d9f1" w:themeFill="text2" w:themeFillTint="33"/>
            <w:vAlign w:val="center"/>
          </w:tcPr>
          <w:p w14:paraId="00000192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0" w:type="pct"/>
            <w:shd w:val="clear" w:color="auto" w:fill="c5d9f1" w:themeFill="text2" w:themeFillTint="33"/>
            <w:vAlign w:val="center"/>
          </w:tcPr>
          <w:p w14:paraId="00000193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4" w:type="pct"/>
            <w:shd w:val="clear" w:color="auto" w:fill="c5d9f1" w:themeFill="text2" w:themeFillTint="33"/>
            <w:vAlign w:val="center"/>
          </w:tcPr>
          <w:p w14:paraId="00000194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661" w:type="pct"/>
            <w:shd w:val="clear" w:color="auto" w:fill="c5d9f1" w:themeFill="text2" w:themeFillTint="33"/>
            <w:vAlign w:val="center"/>
          </w:tcPr>
          <w:p w14:paraId="00000195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10000"/>
            <w:tcW w:w="360" w:type="pct"/>
            <w:shd w:val="clear" w:color="auto" w:fill="c5d9f1" w:themeFill="text2" w:themeFillTint="33"/>
            <w:vAlign w:val="center"/>
          </w:tcPr>
          <w:p w14:paraId="00000196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>
        <w:trPr>
          <w:tblHeader w:val="on"/>
        </w:trPr>
        <w:tc>
          <w:tcPr>
            <w:cnfStyle w:val="001000100000"/>
            <w:tcW w:w="1993" w:type="pct"/>
            <w:gridSpan w:val="4"/>
          </w:tcPr>
          <w:p w14:paraId="00000197">
            <w:pPr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  <w:t>Итоговый балл за результат (с учетом доли мероприятия)</w:t>
            </w:r>
          </w:p>
        </w:tc>
        <w:tc>
          <w:tcPr>
            <w:cnfStyle w:val="000000100000"/>
            <w:tcW w:w="661" w:type="pct"/>
            <w:shd w:val="clear" w:color="auto" w:fill="c5d9f1" w:themeFill="text2" w:themeFillTint="33"/>
            <w:vAlign w:val="center"/>
          </w:tcPr>
          <w:p w14:paraId="00000198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0" w:type="pct"/>
            <w:shd w:val="clear" w:color="auto" w:fill="c5d9f1" w:themeFill="text2" w:themeFillTint="33"/>
            <w:vAlign w:val="center"/>
          </w:tcPr>
          <w:p w14:paraId="00000199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4" w:type="pct"/>
            <w:shd w:val="clear" w:color="auto" w:fill="c5d9f1" w:themeFill="text2" w:themeFillTint="33"/>
            <w:vAlign w:val="center"/>
          </w:tcPr>
          <w:p w14:paraId="0000019A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661" w:type="pct"/>
            <w:shd w:val="clear" w:color="auto" w:fill="c5d9f1" w:themeFill="text2" w:themeFillTint="33"/>
            <w:vAlign w:val="center"/>
          </w:tcPr>
          <w:p w14:paraId="0000019B">
            <w:pPr>
              <w:jc w:val="center"/>
              <w:rPr>
                <w:rFonts w:ascii="Times New Roman" w:cs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100000"/>
            <w:tcW w:w="360" w:type="pct"/>
            <w:shd w:val="clear" w:color="auto" w:fill="c5d9f1" w:themeFill="text2" w:themeFillTint="33"/>
            <w:vAlign w:val="center"/>
          </w:tcPr>
          <w:p w14:paraId="0000019C">
            <w:pPr>
              <w:jc w:val="center"/>
              <w:rPr>
                <w:rFonts w:ascii="Times New Roman" w:cs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000019D">
      <w:pPr>
        <w:spacing w:after="0" w:line="240" w:lineRule="auto"/>
        <w:rPr>
          <w:rFonts w:ascii="Times New Roman" w:cs="Times New Roman" w:eastAsia="Times New Roman" w:hAnsi="Times New Roman"/>
          <w:b/>
          <w:sz w:val="24"/>
          <w:szCs w:val="24"/>
        </w:rPr>
      </w:pPr>
    </w:p>
    <w:sectPr>
      <w:pgSz w:w="16838" w:h="11909" w:orient="landscape"/>
      <w:pgMar w:top="1134" w:right="1134" w:bottom="1134" w:left="1134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MS ??">
    <w:panose1 w:val="00000000000000000000"/>
    <w:charset w:val="80"/>
    <w:family w:val="auto"/>
    <w:notTrueType w:val="on"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9E">
    <w:pPr>
      <w:pStyle w:val="Header"/>
      <w:jc w:val="cent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D0"/>
    <w:rsid w:val="000133E4"/>
    <w:rsid w:val="00016147"/>
    <w:rsid w:val="0001761D"/>
    <w:rsid w:val="00023EFC"/>
    <w:rsid w:val="00063FC9"/>
    <w:rsid w:val="00065712"/>
    <w:rsid w:val="000659B4"/>
    <w:rsid w:val="00087CCE"/>
    <w:rsid w:val="0009021D"/>
    <w:rsid w:val="0009584B"/>
    <w:rsid w:val="000B6836"/>
    <w:rsid w:val="000C1273"/>
    <w:rsid w:val="000C1D22"/>
    <w:rsid w:val="000C77A9"/>
    <w:rsid w:val="000D4373"/>
    <w:rsid w:val="000D7EB1"/>
    <w:rsid w:val="000E10D2"/>
    <w:rsid w:val="000F1763"/>
    <w:rsid w:val="000F32FB"/>
    <w:rsid w:val="000F5202"/>
    <w:rsid w:val="000F6DD0"/>
    <w:rsid w:val="001007F1"/>
    <w:rsid w:val="0011369E"/>
    <w:rsid w:val="00116C5F"/>
    <w:rsid w:val="00127B07"/>
    <w:rsid w:val="001318F1"/>
    <w:rsid w:val="00131AEF"/>
    <w:rsid w:val="00133EDB"/>
    <w:rsid w:val="0013680B"/>
    <w:rsid w:val="00137E54"/>
    <w:rsid w:val="00143E15"/>
    <w:rsid w:val="001509FA"/>
    <w:rsid w:val="00177332"/>
    <w:rsid w:val="00192AB3"/>
    <w:rsid w:val="00196AD0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1F4780"/>
    <w:rsid w:val="001F5BE5"/>
    <w:rsid w:val="00204ABA"/>
    <w:rsid w:val="00220170"/>
    <w:rsid w:val="00230DA3"/>
    <w:rsid w:val="00231421"/>
    <w:rsid w:val="0024023C"/>
    <w:rsid w:val="00247417"/>
    <w:rsid w:val="00265B01"/>
    <w:rsid w:val="002762EE"/>
    <w:rsid w:val="00281ABD"/>
    <w:rsid w:val="0029015B"/>
    <w:rsid w:val="002B1D41"/>
    <w:rsid w:val="002C357F"/>
    <w:rsid w:val="002D172D"/>
    <w:rsid w:val="002D1900"/>
    <w:rsid w:val="002D6E02"/>
    <w:rsid w:val="002D7396"/>
    <w:rsid w:val="002F4B53"/>
    <w:rsid w:val="002F62F4"/>
    <w:rsid w:val="00311AD5"/>
    <w:rsid w:val="00311F00"/>
    <w:rsid w:val="00313550"/>
    <w:rsid w:val="003170D0"/>
    <w:rsid w:val="00331A70"/>
    <w:rsid w:val="003401C1"/>
    <w:rsid w:val="00340AE8"/>
    <w:rsid w:val="003420A4"/>
    <w:rsid w:val="00351007"/>
    <w:rsid w:val="00357958"/>
    <w:rsid w:val="0036353F"/>
    <w:rsid w:val="003853D0"/>
    <w:rsid w:val="00385DD0"/>
    <w:rsid w:val="00391D78"/>
    <w:rsid w:val="003926BF"/>
    <w:rsid w:val="0039394F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E0291"/>
    <w:rsid w:val="003F7E97"/>
    <w:rsid w:val="00401660"/>
    <w:rsid w:val="0040478C"/>
    <w:rsid w:val="00405B8C"/>
    <w:rsid w:val="00406618"/>
    <w:rsid w:val="00422B53"/>
    <w:rsid w:val="004415A3"/>
    <w:rsid w:val="00450C5D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6111"/>
    <w:rsid w:val="004C11EE"/>
    <w:rsid w:val="004C364F"/>
    <w:rsid w:val="004D6774"/>
    <w:rsid w:val="00504B39"/>
    <w:rsid w:val="0051019B"/>
    <w:rsid w:val="00526E75"/>
    <w:rsid w:val="0053132C"/>
    <w:rsid w:val="0053391C"/>
    <w:rsid w:val="00534105"/>
    <w:rsid w:val="00545A22"/>
    <w:rsid w:val="0056681F"/>
    <w:rsid w:val="00574EA3"/>
    <w:rsid w:val="005775F8"/>
    <w:rsid w:val="00577D45"/>
    <w:rsid w:val="00583E80"/>
    <w:rsid w:val="005A4F8E"/>
    <w:rsid w:val="005A7C06"/>
    <w:rsid w:val="005B0EC4"/>
    <w:rsid w:val="005B2B10"/>
    <w:rsid w:val="005C49E1"/>
    <w:rsid w:val="005C4A1B"/>
    <w:rsid w:val="005C5838"/>
    <w:rsid w:val="005C7725"/>
    <w:rsid w:val="005C77CC"/>
    <w:rsid w:val="005D4AA0"/>
    <w:rsid w:val="005E50AF"/>
    <w:rsid w:val="005E6B54"/>
    <w:rsid w:val="005E6B83"/>
    <w:rsid w:val="005F32FE"/>
    <w:rsid w:val="00605BA3"/>
    <w:rsid w:val="00607E3E"/>
    <w:rsid w:val="006135FE"/>
    <w:rsid w:val="00613975"/>
    <w:rsid w:val="0061456C"/>
    <w:rsid w:val="00620786"/>
    <w:rsid w:val="00641D92"/>
    <w:rsid w:val="0064387E"/>
    <w:rsid w:val="00646B86"/>
    <w:rsid w:val="00665369"/>
    <w:rsid w:val="00680603"/>
    <w:rsid w:val="006B12B6"/>
    <w:rsid w:val="006B2AA4"/>
    <w:rsid w:val="006B7F52"/>
    <w:rsid w:val="006D189B"/>
    <w:rsid w:val="006D7390"/>
    <w:rsid w:val="006D762D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34099"/>
    <w:rsid w:val="00740F4A"/>
    <w:rsid w:val="007545E1"/>
    <w:rsid w:val="007634A0"/>
    <w:rsid w:val="00777C64"/>
    <w:rsid w:val="00780438"/>
    <w:rsid w:val="00784683"/>
    <w:rsid w:val="00785EED"/>
    <w:rsid w:val="00786079"/>
    <w:rsid w:val="00787491"/>
    <w:rsid w:val="007922C8"/>
    <w:rsid w:val="00794281"/>
    <w:rsid w:val="007B22DF"/>
    <w:rsid w:val="007B4B45"/>
    <w:rsid w:val="007C1CC2"/>
    <w:rsid w:val="007C3102"/>
    <w:rsid w:val="007C5937"/>
    <w:rsid w:val="007D3D92"/>
    <w:rsid w:val="00804D5D"/>
    <w:rsid w:val="00821CF9"/>
    <w:rsid w:val="00827ED6"/>
    <w:rsid w:val="008346D7"/>
    <w:rsid w:val="00845C9B"/>
    <w:rsid w:val="008745FC"/>
    <w:rsid w:val="0088554C"/>
    <w:rsid w:val="008A5173"/>
    <w:rsid w:val="008A7B72"/>
    <w:rsid w:val="008C60BC"/>
    <w:rsid w:val="008E4688"/>
    <w:rsid w:val="008E7C14"/>
    <w:rsid w:val="008F253D"/>
    <w:rsid w:val="008F5872"/>
    <w:rsid w:val="00900018"/>
    <w:rsid w:val="00910D27"/>
    <w:rsid w:val="00911553"/>
    <w:rsid w:val="00912ED1"/>
    <w:rsid w:val="00926EFE"/>
    <w:rsid w:val="009323D2"/>
    <w:rsid w:val="00941028"/>
    <w:rsid w:val="00953601"/>
    <w:rsid w:val="009568C0"/>
    <w:rsid w:val="009667F7"/>
    <w:rsid w:val="009A2B71"/>
    <w:rsid w:val="009A640E"/>
    <w:rsid w:val="009B1EBE"/>
    <w:rsid w:val="009B32A9"/>
    <w:rsid w:val="009B3980"/>
    <w:rsid w:val="009C2CD3"/>
    <w:rsid w:val="009C7B88"/>
    <w:rsid w:val="009D0193"/>
    <w:rsid w:val="009E28A9"/>
    <w:rsid w:val="00A00932"/>
    <w:rsid w:val="00A01908"/>
    <w:rsid w:val="00A06C89"/>
    <w:rsid w:val="00A20EE5"/>
    <w:rsid w:val="00A349F9"/>
    <w:rsid w:val="00A36539"/>
    <w:rsid w:val="00A42C59"/>
    <w:rsid w:val="00A47332"/>
    <w:rsid w:val="00A62977"/>
    <w:rsid w:val="00A658E3"/>
    <w:rsid w:val="00A70FBD"/>
    <w:rsid w:val="00A717BA"/>
    <w:rsid w:val="00A766A5"/>
    <w:rsid w:val="00A81A37"/>
    <w:rsid w:val="00A82C34"/>
    <w:rsid w:val="00A90540"/>
    <w:rsid w:val="00A95251"/>
    <w:rsid w:val="00A96C27"/>
    <w:rsid w:val="00AA3AE9"/>
    <w:rsid w:val="00AB53FE"/>
    <w:rsid w:val="00AE35AD"/>
    <w:rsid w:val="00AF5940"/>
    <w:rsid w:val="00B15A6F"/>
    <w:rsid w:val="00B43948"/>
    <w:rsid w:val="00B477B7"/>
    <w:rsid w:val="00B61A28"/>
    <w:rsid w:val="00B62758"/>
    <w:rsid w:val="00B62F1F"/>
    <w:rsid w:val="00B7109D"/>
    <w:rsid w:val="00B94152"/>
    <w:rsid w:val="00B9591B"/>
    <w:rsid w:val="00BA1EB9"/>
    <w:rsid w:val="00BA4B27"/>
    <w:rsid w:val="00BA5979"/>
    <w:rsid w:val="00BA623F"/>
    <w:rsid w:val="00BC099A"/>
    <w:rsid w:val="00BC2EEE"/>
    <w:rsid w:val="00BC63AC"/>
    <w:rsid w:val="00BF1812"/>
    <w:rsid w:val="00C10F43"/>
    <w:rsid w:val="00C245E5"/>
    <w:rsid w:val="00C274C9"/>
    <w:rsid w:val="00C331E2"/>
    <w:rsid w:val="00C5174D"/>
    <w:rsid w:val="00C55EC3"/>
    <w:rsid w:val="00C67CBF"/>
    <w:rsid w:val="00C72678"/>
    <w:rsid w:val="00C75996"/>
    <w:rsid w:val="00C82415"/>
    <w:rsid w:val="00C82A10"/>
    <w:rsid w:val="00C83817"/>
    <w:rsid w:val="00C854C5"/>
    <w:rsid w:val="00C96AD6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3ED3"/>
    <w:rsid w:val="00CF6BD8"/>
    <w:rsid w:val="00CF7069"/>
    <w:rsid w:val="00D075C5"/>
    <w:rsid w:val="00D11808"/>
    <w:rsid w:val="00D423D5"/>
    <w:rsid w:val="00D619DE"/>
    <w:rsid w:val="00D6356E"/>
    <w:rsid w:val="00D85A0E"/>
    <w:rsid w:val="00D914FC"/>
    <w:rsid w:val="00DA028F"/>
    <w:rsid w:val="00DA0C1E"/>
    <w:rsid w:val="00DA0F12"/>
    <w:rsid w:val="00DA53B9"/>
    <w:rsid w:val="00DB19C2"/>
    <w:rsid w:val="00DC255C"/>
    <w:rsid w:val="00DC48EF"/>
    <w:rsid w:val="00DC5BE9"/>
    <w:rsid w:val="00DC74A9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266DF"/>
    <w:rsid w:val="00E316A5"/>
    <w:rsid w:val="00E37458"/>
    <w:rsid w:val="00E4263D"/>
    <w:rsid w:val="00E434E6"/>
    <w:rsid w:val="00E467AC"/>
    <w:rsid w:val="00E5060D"/>
    <w:rsid w:val="00E536C9"/>
    <w:rsid w:val="00E62C7E"/>
    <w:rsid w:val="00E7325F"/>
    <w:rsid w:val="00E9254C"/>
    <w:rsid w:val="00EB767A"/>
    <w:rsid w:val="00EC1072"/>
    <w:rsid w:val="00ED4848"/>
    <w:rsid w:val="00ED6A12"/>
    <w:rsid w:val="00EF5DDC"/>
    <w:rsid w:val="00EF6C76"/>
    <w:rsid w:val="00F00A4A"/>
    <w:rsid w:val="00F0425E"/>
    <w:rsid w:val="00F246AE"/>
    <w:rsid w:val="00F274E5"/>
    <w:rsid w:val="00F35550"/>
    <w:rsid w:val="00F4105F"/>
    <w:rsid w:val="00F46133"/>
    <w:rsid w:val="00F55718"/>
    <w:rsid w:val="00F55FA6"/>
    <w:rsid w:val="00F646ED"/>
    <w:rsid w:val="00F70EB3"/>
    <w:rsid w:val="00F834C9"/>
    <w:rsid w:val="00F96976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EC20"/>
  <w15:docId w15:val="{60ED74B8-4891-4D02-8AB7-DE99B024AD4A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2">
    <w:name w:val="Heading 2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link w:val="Heading#2_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#3_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9"/>
    <w:qFormat w:val="on"/>
    <w:pPr>
      <w:keepNext w:val="on"/>
      <w:spacing w:after="0" w:line="240" w:lineRule="auto"/>
      <w:jc w:val="center"/>
    </w:pPr>
    <w:rPr>
      <w:rFonts w:ascii="Cambria" w:cs="Times New Roman" w:eastAsia="MS ??" w:hAnsi="Cambria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notetext">
    <w:name w:val="Footnote text"/>
    <w:basedOn w:val="Normal"/>
    <w:link w:val="ТекстсноскиЗнак"/>
    <w:uiPriority w:val="99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rPr>
      <w:sz w:val="20"/>
      <w:szCs w:val="20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widowControl w:val="off"/>
      <w:tabs>
        <w:tab w:val="center" w:pos="4677"/>
        <w:tab w:val="right" w:pos="9355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ВерхнийколонтитулЗнак1">
    <w:name w:val="Верхний колонтитул Знак1"/>
    <w:basedOn w:val="DefaultParagraphFont"/>
    <w:uiPriority w:val="99"/>
    <w:semiHidden w:val="on"/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character" w:customStyle="1" w:styleId="Заголовок1Знак">
    <w:name w:val="Заголовок 1 Знак"/>
    <w:basedOn w:val="DefaultParagraphFont"/>
    <w:link w:val="Heading1"/>
    <w:uiPriority w:val="99"/>
    <w:rPr>
      <w:rFonts w:ascii="Cambria" w:cs="Times New Roman" w:eastAsia="MS ??" w:hAnsi="Cambria"/>
      <w:b/>
      <w:sz w:val="28"/>
      <w:szCs w:val="20"/>
      <w:lang w:eastAsia="ru-RU"/>
    </w:rPr>
  </w:style>
  <w:style w:type="character" w:customStyle="1" w:styleId="Heading1Char">
    <w:name w:val="Heading 1 Char"/>
    <w:uiPriority w:val="99"/>
    <w:rPr>
      <w:rFonts w:ascii="Cambria" w:cs="Times New Roman" w:hAnsi="Cambria"/>
      <w:b/>
      <w:bCs/>
      <w:color w:val="000000"/>
      <w:sz w:val="32"/>
      <w:szCs w:val="32"/>
    </w:rPr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Основнойтекст(2)_">
    <w:name w:val="Основной текст (2)_"/>
    <w:link w:val="Основнойтекст(2)1"/>
    <w:uiPriority w:val="99"/>
    <w:rPr>
      <w:rFonts w:ascii="Garamond" w:cs="Garamond" w:hAnsi="Garamond"/>
      <w:b/>
      <w:bCs/>
      <w:sz w:val="144"/>
      <w:szCs w:val="144"/>
      <w:shd w:val="clear" w:color="auto" w:fill="ffffff"/>
    </w:rPr>
  </w:style>
  <w:style w:type="character" w:customStyle="1" w:styleId="Основнойтекст(2)">
    <w:name w:val="Основной текст (2)"/>
    <w:uiPriority w:val="99"/>
    <w:rPr>
      <w:rFonts w:ascii="Garamond" w:cs="Garamond" w:hAnsi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Основнойтекст_">
    <w:name w:val="Основной текст_"/>
    <w:link w:val="Основнойтекст4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Основнойтекст(3)_">
    <w:name w:val="Основной текст (3)_"/>
    <w:link w:val="Основнойтекст(3)1"/>
    <w:uiPriority w:val="99"/>
    <w:rPr>
      <w:rFonts w:ascii="Times New Roman" w:cs="Times New Roman" w:hAnsi="Times New Roman"/>
      <w:shd w:val="clear" w:color="auto" w:fill="ffffff"/>
    </w:rPr>
  </w:style>
  <w:style w:type="character" w:customStyle="1" w:styleId="Заголовок№1_">
    <w:name w:val="Заголовок №1_"/>
    <w:link w:val="Заголовок№11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Колонтитул_">
    <w:name w:val="Колонтитул_"/>
    <w:link w:val="Колонтитул1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Колонтитул+11pt">
    <w:name w:val="Колонтитул + 11 pt"/>
    <w:aliases w:val="Не полужирный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+11pt">
    <w:name w:val="Основной текст + 11 pt"/>
    <w:aliases w:val="Не полужирный3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">
    <w:name w:val="Заголовок №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">
    <w:name w:val="Колонтитул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3">
    <w:name w:val="Колонтитул3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3)Exact">
    <w:name w:val="Основной текст (3) Exact"/>
    <w:uiPriority w:val="99"/>
    <w:rPr>
      <w:rFonts w:ascii="Times New Roman" w:cs="Times New Roman" w:hAnsi="Times New Roman"/>
      <w:spacing w:val="2"/>
      <w:sz w:val="20"/>
      <w:szCs w:val="20"/>
      <w:u w:val="none"/>
    </w:rPr>
  </w:style>
  <w:style w:type="character" w:customStyle="1" w:styleId="Основнойтекст(3)">
    <w:name w:val="Основной текст (3)"/>
    <w:uiPriority w:val="99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Основнойтекст(3)Exact1">
    <w:name w:val="Основной текст (3) Exact1"/>
    <w:uiPriority w:val="99"/>
    <w:rPr>
      <w:rFonts w:ascii="Times New Roman" w:cs="Times New Roman" w:hAnsi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Основнойтекст(4)_">
    <w:name w:val="Основной текст (4)_"/>
    <w:link w:val="Основнойтекст(4)1"/>
    <w:uiPriority w:val="99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Основнойтекст+Курсив">
    <w:name w:val="Основной текст +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1">
    <w:name w:val="Основной текст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Подписьктаблице_">
    <w:name w:val="Подпись к таблице_"/>
    <w:link w:val="Подписьктаблице1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Заголовок№1+Курсив">
    <w:name w:val="Заголовок №1 +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(2)_">
    <w:name w:val="Подпись к таблице (2)_"/>
    <w:link w:val="Подписьктаблице(2)"/>
    <w:uiPriority w:val="99"/>
    <w:rPr>
      <w:rFonts w:ascii="Times New Roman" w:cs="Times New Roman" w:hAnsi="Times New Roman"/>
      <w:b/>
      <w:bCs/>
      <w:sz w:val="19"/>
      <w:szCs w:val="19"/>
      <w:shd w:val="clear" w:color="auto" w:fill="ffffff"/>
    </w:rPr>
  </w:style>
  <w:style w:type="character" w:customStyle="1" w:styleId="Подписьктаблице(2)+Неполужирный">
    <w:name w:val="Подпись к таблице (2) + Не полужирный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Заголовок№1(2)_">
    <w:name w:val="Заголовок №1 (2)_"/>
    <w:link w:val="Заголовок№1(2)1"/>
    <w:uiPriority w:val="99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Основнойтекст+8">
    <w:name w:val="Основной текст + 8"/>
    <w:aliases w:val="5 pt,Не полужирный2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81">
    <w:name w:val="Основной текст + 81"/>
    <w:aliases w:val="5 pt5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11pt1">
    <w:name w:val="Основной текст + 11 pt1"/>
    <w:aliases w:val="Не полужирный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(4)">
    <w:name w:val="Основной текст (4)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Заголовок№1(2)">
    <w:name w:val="Заголовок №1 (2)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2">
    <w:name w:val="Основной текст2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4)+Некурсив">
    <w:name w:val="Основной текст (4) + Не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">
    <w:name w:val="Подпись к таблице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Колонтитул+11pt1">
    <w:name w:val="Колонтитул + 11 pt1"/>
    <w:aliases w:val="Не полужирный1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2">
    <w:name w:val="Заголовок №12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+Курсив1">
    <w:name w:val="Основной текст + Курсив1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3">
    <w:name w:val="Основной текст3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2">
    <w:name w:val="Колонтитул2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Основнойтекст(2)1">
    <w:name w:val="Основной текст (2)1"/>
    <w:basedOn w:val="Normal"/>
    <w:link w:val="Основнойтекст(2)_"/>
    <w:uiPriority w:val="99"/>
    <w:pPr>
      <w:widowControl w:val="off"/>
      <w:shd w:val="clear" w:color="auto" w:fill="ffffff"/>
      <w:spacing w:after="0" w:line="365" w:lineRule="exact"/>
      <w:jc w:val="center"/>
    </w:pPr>
    <w:rPr>
      <w:rFonts w:ascii="Garamond" w:cs="Garamond" w:hAnsi="Garamond"/>
      <w:b/>
      <w:bCs/>
      <w:sz w:val="144"/>
      <w:szCs w:val="144"/>
    </w:rPr>
  </w:style>
  <w:style w:type="paragraph" w:customStyle="1" w:styleId="Основнойтекст4">
    <w:name w:val="Основной текст4"/>
    <w:basedOn w:val="Normal"/>
    <w:link w:val="Основнойтекст_"/>
    <w:uiPriority w:val="99"/>
    <w:pPr>
      <w:widowControl w:val="off"/>
      <w:shd w:val="clear" w:color="auto" w:fill="ffffff"/>
      <w:spacing w:after="0" w:line="365" w:lineRule="exact"/>
      <w:ind w:hanging="360"/>
      <w:jc w:val="center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Основнойтекст(3)1">
    <w:name w:val="Основной текст (3)1"/>
    <w:basedOn w:val="Normal"/>
    <w:link w:val="Основнойтекст(3)_"/>
    <w:uiPriority w:val="99"/>
    <w:pPr>
      <w:widowControl w:val="off"/>
      <w:shd w:val="clear" w:color="auto" w:fill="ffffff"/>
      <w:spacing w:before="120" w:after="3060" w:line="240" w:lineRule="atLeast"/>
      <w:jc w:val="center"/>
    </w:pPr>
    <w:rPr>
      <w:rFonts w:ascii="Times New Roman" w:cs="Times New Roman" w:hAnsi="Times New Roman"/>
    </w:rPr>
  </w:style>
  <w:style w:type="paragraph" w:customStyle="1" w:styleId="Заголовок№11">
    <w:name w:val="Заголовок №11"/>
    <w:basedOn w:val="Normal"/>
    <w:link w:val="Заголовок№1_"/>
    <w:uiPriority w:val="99"/>
    <w:pPr>
      <w:widowControl w:val="off"/>
      <w:shd w:val="clear" w:color="auto" w:fill="ffffff"/>
      <w:spacing w:after="60" w:line="370" w:lineRule="exact"/>
      <w:jc w:val="center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Колонтитул1">
    <w:name w:val="Колонтитул1"/>
    <w:basedOn w:val="Normal"/>
    <w:link w:val="Колонтитул_"/>
    <w:uiPriority w:val="99"/>
    <w:pPr>
      <w:widowControl w:val="off"/>
      <w:shd w:val="clear" w:color="auto" w:fill="ffffff"/>
      <w:spacing w:after="120" w:line="240" w:lineRule="atLeast"/>
      <w:jc w:val="center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Основнойтекст(4)1">
    <w:name w:val="Основной текст (4)1"/>
    <w:basedOn w:val="Normal"/>
    <w:link w:val="Основнойтекст(4)_"/>
    <w:uiPriority w:val="99"/>
    <w:pPr>
      <w:widowControl w:val="off"/>
      <w:shd w:val="clear" w:color="auto" w:fill="ffffff"/>
      <w:spacing w:before="720" w:after="0" w:line="475" w:lineRule="exact"/>
      <w:jc w:val="both"/>
    </w:pPr>
    <w:rPr>
      <w:rFonts w:ascii="Times New Roman" w:cs="Times New Roman" w:hAnsi="Times New Roman"/>
      <w:b/>
      <w:bCs/>
      <w:i/>
      <w:iCs/>
      <w:sz w:val="26"/>
      <w:szCs w:val="26"/>
    </w:rPr>
  </w:style>
  <w:style w:type="paragraph" w:customStyle="1" w:styleId="Подписьктаблице1">
    <w:name w:val="Подпись к таблице1"/>
    <w:basedOn w:val="Normal"/>
    <w:link w:val="Подписьктаблице_"/>
    <w:uiPriority w:val="99"/>
    <w:pPr>
      <w:widowControl w:val="off"/>
      <w:shd w:val="clear" w:color="auto" w:fill="ffffff"/>
      <w:spacing w:after="0" w:line="240" w:lineRule="atLeast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Подписьктаблице(2)">
    <w:name w:val="Подпись к таблице (2)"/>
    <w:basedOn w:val="Normal"/>
    <w:link w:val="Подписьктаблице(2)_"/>
    <w:uiPriority w:val="99"/>
    <w:pPr>
      <w:widowControl w:val="off"/>
      <w:shd w:val="clear" w:color="auto" w:fill="ffffff"/>
      <w:spacing w:after="0" w:line="240" w:lineRule="atLeast"/>
    </w:pPr>
    <w:rPr>
      <w:rFonts w:ascii="Times New Roman" w:cs="Times New Roman" w:hAnsi="Times New Roman"/>
      <w:b/>
      <w:bCs/>
      <w:sz w:val="19"/>
      <w:szCs w:val="19"/>
    </w:rPr>
  </w:style>
  <w:style w:type="paragraph" w:customStyle="1" w:styleId="Заголовок№1(2)1">
    <w:name w:val="Заголовок №1 (2)1"/>
    <w:basedOn w:val="Normal"/>
    <w:link w:val="Заголовок№1(2)_"/>
    <w:uiPriority w:val="99"/>
    <w:pPr>
      <w:widowControl w:val="off"/>
      <w:shd w:val="clear" w:color="auto" w:fill="ffffff"/>
      <w:spacing w:before="720" w:after="0" w:line="475" w:lineRule="exact"/>
    </w:pPr>
    <w:rPr>
      <w:rFonts w:ascii="Times New Roman" w:cs="Times New Roman" w:hAnsi="Times New Roman"/>
      <w:b/>
      <w:bCs/>
      <w:i/>
      <w:iCs/>
      <w:sz w:val="26"/>
      <w:szCs w:val="26"/>
    </w:rPr>
  </w:style>
  <w:style w:type="paragraph" w:customStyle="1" w:styleId="ОбычныйТекст">
    <w:name w:val="ОбычныйТекст"/>
    <w:basedOn w:val="Normal"/>
    <w:uiPriority w:val="99"/>
    <w:pPr>
      <w:spacing w:after="0" w:line="360" w:lineRule="auto"/>
      <w:ind w:firstLine="720"/>
      <w:jc w:val="both"/>
    </w:pPr>
    <w:rPr>
      <w:rFonts w:ascii="Times New Roman" w:cs="Times New Roman" w:eastAsia="Courier New" w:hAnsi="Times New Roman"/>
      <w:sz w:val="28"/>
      <w:szCs w:val="20"/>
      <w:lang w:eastAsia="ru-RU"/>
    </w:rPr>
  </w:style>
  <w:style w:type="character" w:customStyle="1" w:styleId="Основнойтекст(8)">
    <w:name w:val="Основной текст (8)"/>
    <w:uiPriority w:val="99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Основнойтекст(8)+10">
    <w:name w:val="Основной текст (8) + 10"/>
    <w:aliases w:val="5 pt4,Основной текст (2) + 11,Полужирный1,Курсив8"/>
    <w:uiPriority w:val="99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_">
    <w:name w:val="Body text_"/>
    <w:uiPriority w:val="99"/>
    <w:rPr>
      <w:rFonts w:ascii="Times New Roman" w:cs="Times New Roman" w:hAnsi="Times New Roman"/>
      <w:sz w:val="26"/>
      <w:szCs w:val="26"/>
      <w:u w:val="none"/>
    </w:rPr>
  </w:style>
  <w:style w:type="character" w:customStyle="1" w:styleId="Bodytext+11pt">
    <w:name w:val="Body text + 11 pt"/>
    <w:uiPriority w:val="99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(7)_">
    <w:name w:val="Body text (7)_"/>
    <w:link w:val="Bodytext(7)"/>
    <w:uiPriority w:val="99"/>
    <w:rPr>
      <w:rFonts w:ascii="Arial" w:cs="Arial" w:hAnsi="Arial"/>
      <w:sz w:val="15"/>
      <w:szCs w:val="15"/>
      <w:shd w:val="clear" w:color="auto" w:fill="ffffff"/>
    </w:rPr>
  </w:style>
  <w:style w:type="paragraph" w:customStyle="1" w:styleId="Bodytext(7)">
    <w:name w:val="Body text (7)"/>
    <w:basedOn w:val="Normal"/>
    <w:link w:val="Bodytext(7)_"/>
    <w:uiPriority w:val="99"/>
    <w:pPr>
      <w:widowControl w:val="off"/>
      <w:shd w:val="clear" w:color="auto" w:fill="ffffff"/>
      <w:spacing w:after="0" w:line="226" w:lineRule="exact"/>
      <w:jc w:val="both"/>
    </w:pPr>
    <w:rPr>
      <w:rFonts w:ascii="Arial" w:cs="Arial" w:hAnsi="Arial"/>
      <w:sz w:val="15"/>
      <w:szCs w:val="15"/>
    </w:rPr>
  </w:style>
  <w:style w:type="character" w:customStyle="1" w:styleId="Bodytext(5)_">
    <w:name w:val="Body text (5)_"/>
    <w:link w:val="Bodytext(5)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Heading#2_">
    <w:name w:val="Heading #2_"/>
    <w:link w:val="Heading#2"/>
    <w:uiPriority w:val="99"/>
    <w:rPr>
      <w:rFonts w:ascii="Times New Roman" w:cs="Times New Roman" w:hAnsi="Times New Roman"/>
      <w:b/>
      <w:bCs/>
      <w:sz w:val="34"/>
      <w:szCs w:val="34"/>
      <w:shd w:val="clear" w:color="auto" w:fill="ffffff"/>
    </w:rPr>
  </w:style>
  <w:style w:type="character" w:customStyle="1" w:styleId="Bodytext(5)+NotBold">
    <w:name w:val="Body text (5)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(5)">
    <w:name w:val="Body text (5)"/>
    <w:basedOn w:val="Normal"/>
    <w:link w:val="Bodytext(5)_"/>
    <w:uiPriority w:val="99"/>
    <w:pPr>
      <w:widowControl w:val="off"/>
      <w:shd w:val="clear" w:color="auto" w:fill="ffffff"/>
      <w:spacing w:before="300" w:after="1080" w:line="317" w:lineRule="exact"/>
      <w:jc w:val="center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Heading#2">
    <w:name w:val="Heading #2"/>
    <w:basedOn w:val="Normal"/>
    <w:link w:val="Heading#2_"/>
    <w:uiPriority w:val="99"/>
    <w:pPr>
      <w:widowControl w:val="off"/>
      <w:shd w:val="clear" w:color="auto" w:fill="ffffff"/>
      <w:spacing w:before="180" w:after="300" w:line="240" w:lineRule="atLeast"/>
      <w:jc w:val="center"/>
    </w:pPr>
    <w:rPr>
      <w:rFonts w:ascii="Times New Roman" w:cs="Times New Roman" w:hAnsi="Times New Roman"/>
      <w:b/>
      <w:bCs/>
      <w:sz w:val="34"/>
      <w:szCs w:val="34"/>
    </w:rPr>
  </w:style>
  <w:style w:type="character" w:customStyle="1" w:styleId="Bodytext(6)_">
    <w:name w:val="Body text (6)_"/>
    <w:uiPriority w:val="99"/>
    <w:rPr>
      <w:rFonts w:ascii="Times New Roman" w:cs="Times New Roman" w:hAnsi="Times New Roman"/>
      <w:u w:val="none"/>
    </w:rPr>
  </w:style>
  <w:style w:type="character" w:customStyle="1" w:styleId="Bodytext(6)">
    <w:name w:val="Body text (6)"/>
    <w:uiPriority w:val="99"/>
    <w:rPr>
      <w:rFonts w:ascii="Times New Roman" w:cs="Times New Roman" w:hAnsi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(10)_">
    <w:name w:val="Body text (10)_"/>
    <w:uiPriority w:val="99"/>
    <w:rPr>
      <w:rFonts w:ascii="Times New Roman" w:cs="Times New Roman" w:hAnsi="Times New Roman"/>
      <w:b/>
      <w:bCs/>
      <w:spacing w:val="10"/>
      <w:sz w:val="23"/>
      <w:szCs w:val="23"/>
      <w:u w:val="none"/>
    </w:rPr>
  </w:style>
  <w:style w:type="character" w:customStyle="1" w:styleId="Bodytext(10)">
    <w:name w:val="Body text (10)"/>
    <w:uiPriority w:val="99"/>
    <w:rPr>
      <w:rFonts w:ascii="Times New Roman" w:cs="Times New Roman" w:hAnsi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2)_">
    <w:name w:val="Body text (2)_"/>
    <w:link w:val="Bodytext(2)"/>
    <w:uiPriority w:val="99"/>
    <w:rPr>
      <w:rFonts w:ascii="Times New Roman" w:cs="Times New Roman" w:hAnsi="Times New Roman"/>
      <w:shd w:val="clear" w:color="auto" w:fill="ffffff"/>
    </w:rPr>
  </w:style>
  <w:style w:type="character" w:customStyle="1" w:styleId="Heading#3_">
    <w:name w:val="Heading #3_"/>
    <w:link w:val="Heading#3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character" w:customStyle="1" w:styleId="Heading#3+NotBold">
    <w:name w:val="Heading #3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_">
    <w:name w:val="Table caption_"/>
    <w:link w:val="Tablecaption"/>
    <w:uiPriority w:val="99"/>
    <w:rPr>
      <w:rFonts w:ascii="Times New Roman" w:cs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+11">
    <w:name w:val="Body text + 11"/>
    <w:aliases w:val="5 pt3,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(2)">
    <w:name w:val="Body text (2)"/>
    <w:basedOn w:val="Normal"/>
    <w:link w:val="Bodytext(2)_"/>
    <w:uiPriority w:val="99"/>
    <w:pPr>
      <w:widowControl w:val="off"/>
      <w:shd w:val="clear" w:color="auto" w:fill="ffffff"/>
      <w:spacing w:after="0" w:line="288" w:lineRule="exact"/>
      <w:ind w:hanging="780"/>
      <w:jc w:val="center"/>
    </w:pPr>
    <w:rPr>
      <w:rFonts w:ascii="Times New Roman" w:cs="Times New Roman" w:hAnsi="Times New Roman"/>
    </w:rPr>
  </w:style>
  <w:style w:type="paragraph" w:customStyle="1" w:styleId="Heading#3">
    <w:name w:val="Heading #3"/>
    <w:basedOn w:val="Normal"/>
    <w:link w:val="Heading#3_"/>
    <w:uiPriority w:val="99"/>
    <w:pPr>
      <w:widowControl w:val="off"/>
      <w:shd w:val="clear" w:color="auto" w:fill="ffffff"/>
      <w:spacing w:before="300" w:after="300" w:line="240" w:lineRule="atLeast"/>
      <w:jc w:val="center"/>
    </w:pPr>
    <w:rPr>
      <w:rFonts w:ascii="Times New Roman" w:cs="Times New Roman" w:hAnsi="Times New Roman"/>
      <w:b/>
      <w:bCs/>
      <w:sz w:val="26"/>
      <w:szCs w:val="26"/>
    </w:rPr>
  </w:style>
  <w:style w:type="paragraph" w:customStyle="1" w:styleId="Tablecaption">
    <w:name w:val="Table caption"/>
    <w:basedOn w:val="Normal"/>
    <w:link w:val="Tablecaption_"/>
    <w:uiPriority w:val="99"/>
    <w:pPr>
      <w:widowControl w:val="off"/>
      <w:shd w:val="clear" w:color="auto" w:fill="ffffff"/>
      <w:spacing w:after="0" w:line="322" w:lineRule="exact"/>
      <w:jc w:val="center"/>
    </w:pPr>
    <w:rPr>
      <w:rFonts w:ascii="Times New Roman" w:cs="Times New Roman" w:hAnsi="Times New Roman"/>
      <w:b/>
      <w:bCs/>
      <w:sz w:val="23"/>
      <w:szCs w:val="23"/>
    </w:rPr>
  </w:style>
  <w:style w:type="character" w:customStyle="1" w:styleId="Bodytext+ArialNarrow">
    <w:name w:val="Body text + Arial Narrow"/>
    <w:aliases w:val="11,5 pt2,Bold2"/>
    <w:uiPriority w:val="99"/>
    <w:rPr>
      <w:rFonts w:ascii="Arial Narrow" w:cs="Arial Narrow" w:hAnsi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(2)_">
    <w:name w:val="Table caption (2)_"/>
    <w:uiPriority w:val="99"/>
    <w:rPr>
      <w:rFonts w:ascii="Times New Roman" w:cs="Times New Roman" w:hAnsi="Times New Roman"/>
      <w:sz w:val="22"/>
      <w:szCs w:val="22"/>
      <w:u w:val="none"/>
    </w:rPr>
  </w:style>
  <w:style w:type="character" w:customStyle="1" w:styleId="Tablecaption(2)">
    <w:name w:val="Table caption (2)"/>
    <w:uiPriority w:val="99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+Bold">
    <w:name w:val="Body text +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ListParagraph">
    <w:name w:val="List Paragraph"/>
    <w:basedOn w:val="Normal"/>
    <w:uiPriority w:val="34"/>
    <w:qFormat w:val="on"/>
    <w:pPr>
      <w:widowControl w:val="off"/>
      <w:spacing w:after="0" w:line="240" w:lineRule="auto"/>
      <w:ind w:left="720"/>
      <w:contextualSpacing w:val="on"/>
    </w:pPr>
    <w:rPr>
      <w:rFonts w:ascii="Courier New" w:cs="Courier New" w:eastAsia="Courier New" w:hAnsi="Courier New"/>
      <w:color w:val="000000"/>
      <w:sz w:val="24"/>
      <w:szCs w:val="24"/>
      <w:lang w:eastAsia="ru-RU"/>
    </w:rPr>
  </w:style>
  <w:style w:type="character" w:customStyle="1" w:styleId="Bodytext(12)_">
    <w:name w:val="Body text (12)_"/>
    <w:uiPriority w:val="99"/>
    <w:rPr>
      <w:rFonts w:ascii="Times New Roman" w:cs="Times New Roman" w:hAnsi="Times New Roman"/>
      <w:b/>
      <w:bCs/>
      <w:sz w:val="23"/>
      <w:szCs w:val="23"/>
      <w:u w:val="none"/>
    </w:rPr>
  </w:style>
  <w:style w:type="character" w:customStyle="1" w:styleId="Bodytext(12)">
    <w:name w:val="Body text (12)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6)+11">
    <w:name w:val="Body text (6) + 11"/>
    <w:aliases w:val="5 pt1,Bold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pPr>
      <w:spacing w:line="240" w:lineRule="auto"/>
    </w:pPr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b/>
      <w:bCs/>
      <w:sz w:val="20"/>
      <w:szCs w:val="20"/>
    </w:rPr>
  </w:style>
  <w:style w:type="paragraph" w:customStyle="1" w:styleId="Безинтервала1">
    <w:name w:val="Без интервала1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Абзацсписка1">
    <w:name w:val="Абзац списка1"/>
    <w:basedOn w:val="Normal"/>
    <w:uiPriority w:val="99"/>
    <w:pPr>
      <w:ind w:left="720"/>
    </w:pPr>
    <w:rPr>
      <w:rFonts w:ascii="Calibri" w:cs="Times New Roman" w:eastAsia="Times New Roman" w:hAnsi="Calibri"/>
      <w:lang w:eastAsia="ru-RU"/>
    </w:rPr>
  </w:style>
  <w:style w:type="paragraph" w:styleId="Normal(Web)">
    <w:name w:val="Normal (Web)"/>
    <w:basedOn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334D-C057-40EF-866D-5BE4AC1A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