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65" w:rsidRPr="002F0D28" w:rsidRDefault="00606465" w:rsidP="00606465">
      <w:pPr>
        <w:tabs>
          <w:tab w:val="left" w:pos="6237"/>
        </w:tabs>
        <w:spacing w:after="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2F0D28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606465" w:rsidRPr="002F0D28" w:rsidRDefault="00606465" w:rsidP="00606465">
      <w:pPr>
        <w:spacing w:after="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2F0D28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:rsidR="00122889" w:rsidRPr="002F0D28" w:rsidRDefault="00122889" w:rsidP="00122889">
      <w:pPr>
        <w:pStyle w:val="1"/>
        <w:rPr>
          <w:rFonts w:ascii="Arial" w:hAnsi="Arial" w:cs="Arial"/>
        </w:rPr>
      </w:pPr>
      <w:r w:rsidRPr="002F0D28">
        <w:rPr>
          <w:rFonts w:ascii="Arial" w:hAnsi="Arial" w:cs="Arial"/>
        </w:rPr>
        <w:t>Справка</w:t>
      </w:r>
    </w:p>
    <w:p w:rsidR="00122889" w:rsidRPr="002F0D28" w:rsidRDefault="00122889" w:rsidP="00122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0D28">
        <w:rPr>
          <w:rFonts w:ascii="Arial" w:hAnsi="Arial" w:cs="Arial"/>
          <w:sz w:val="24"/>
          <w:szCs w:val="24"/>
        </w:rPr>
        <w:t xml:space="preserve">о научных руководителях аспирантов, обучающихся по программе подготовки </w:t>
      </w:r>
    </w:p>
    <w:p w:rsidR="00122889" w:rsidRPr="002F0D28" w:rsidRDefault="00122889" w:rsidP="0012288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2F0D28">
        <w:rPr>
          <w:rFonts w:ascii="Arial" w:hAnsi="Arial" w:cs="Arial"/>
          <w:sz w:val="24"/>
          <w:szCs w:val="24"/>
        </w:rPr>
        <w:t xml:space="preserve">научных и научно-педагогических кадров в аспирантуре </w:t>
      </w:r>
      <w:r w:rsidRPr="002F0D28">
        <w:rPr>
          <w:rFonts w:ascii="Arial" w:eastAsia="Calibri" w:hAnsi="Arial" w:cs="Arial"/>
          <w:sz w:val="24"/>
          <w:szCs w:val="24"/>
        </w:rPr>
        <w:t>по специальности 1.6.9. Геофизика</w:t>
      </w:r>
    </w:p>
    <w:p w:rsidR="00122889" w:rsidRPr="002F0D28" w:rsidRDefault="00122889" w:rsidP="0012288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a3"/>
        <w:tblW w:w="14977" w:type="dxa"/>
        <w:tblLayout w:type="fixed"/>
        <w:tblLook w:val="04A0"/>
      </w:tblPr>
      <w:tblGrid>
        <w:gridCol w:w="503"/>
        <w:gridCol w:w="1479"/>
        <w:gridCol w:w="1710"/>
        <w:gridCol w:w="1806"/>
        <w:gridCol w:w="1960"/>
        <w:gridCol w:w="4557"/>
        <w:gridCol w:w="2962"/>
      </w:tblGrid>
      <w:tr w:rsidR="0018365E" w:rsidRPr="002F0D28" w:rsidTr="006A6FF3">
        <w:tc>
          <w:tcPr>
            <w:tcW w:w="503" w:type="dxa"/>
          </w:tcPr>
          <w:p w:rsidR="0018365E" w:rsidRPr="002F0D28" w:rsidRDefault="0018365E" w:rsidP="00D838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2F0D28">
              <w:rPr>
                <w:rFonts w:ascii="Arial" w:hAnsi="Arial" w:cs="Arial"/>
                <w:b/>
                <w:sz w:val="20"/>
                <w:szCs w:val="20"/>
              </w:rPr>
              <w:t>п\</w:t>
            </w:r>
            <w:proofErr w:type="gramStart"/>
            <w:r w:rsidRPr="002F0D28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79" w:type="dxa"/>
          </w:tcPr>
          <w:p w:rsidR="0018365E" w:rsidRPr="002F0D28" w:rsidRDefault="0018365E" w:rsidP="00D838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>Ф.И.О. научного руководителя аспирантов</w:t>
            </w:r>
          </w:p>
        </w:tc>
        <w:tc>
          <w:tcPr>
            <w:tcW w:w="1710" w:type="dxa"/>
          </w:tcPr>
          <w:p w:rsidR="0018365E" w:rsidRPr="002F0D28" w:rsidRDefault="0018365E" w:rsidP="00407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:rsidR="0018365E" w:rsidRPr="002F0D28" w:rsidRDefault="0018365E" w:rsidP="00407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>по договору ГПХ)</w:t>
            </w:r>
          </w:p>
        </w:tc>
        <w:tc>
          <w:tcPr>
            <w:tcW w:w="1806" w:type="dxa"/>
          </w:tcPr>
          <w:p w:rsidR="0018365E" w:rsidRPr="002F0D28" w:rsidRDefault="0018365E" w:rsidP="00D838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960" w:type="dxa"/>
          </w:tcPr>
          <w:p w:rsidR="0018365E" w:rsidRPr="002F0D28" w:rsidRDefault="0018365E" w:rsidP="00103A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>Тематика самостоятельной научно-исследовательской (творческой) деятельности</w:t>
            </w:r>
            <w:r w:rsidRPr="002F0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D28">
              <w:rPr>
                <w:rFonts w:ascii="Arial" w:hAnsi="Arial" w:cs="Arial"/>
                <w:b/>
                <w:sz w:val="20"/>
                <w:szCs w:val="20"/>
              </w:rPr>
              <w:t xml:space="preserve">(участие в осуществлении такой деятельности) по направленности (профилю) подготовки, а также наименование и реквизиты документа, подтверждающие ее закрепление  </w:t>
            </w:r>
          </w:p>
        </w:tc>
        <w:tc>
          <w:tcPr>
            <w:tcW w:w="4557" w:type="dxa"/>
          </w:tcPr>
          <w:p w:rsidR="0018365E" w:rsidRPr="002F0D28" w:rsidRDefault="0018365E" w:rsidP="00D838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>Пуб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ликации в ведущих отечественных и зарубежных </w:t>
            </w:r>
            <w:r w:rsidRPr="002F0D28">
              <w:rPr>
                <w:rFonts w:ascii="Arial" w:hAnsi="Arial" w:cs="Arial"/>
                <w:b/>
                <w:sz w:val="20"/>
                <w:szCs w:val="20"/>
              </w:rPr>
              <w:t>рецензируемых научных журналах и изданиях</w:t>
            </w:r>
          </w:p>
          <w:p w:rsidR="0018365E" w:rsidRPr="002F0D28" w:rsidRDefault="0018365E" w:rsidP="001836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2" w:type="dxa"/>
          </w:tcPr>
          <w:p w:rsidR="0018365E" w:rsidRPr="002F0D28" w:rsidRDefault="0018365E" w:rsidP="00D838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0D28">
              <w:rPr>
                <w:rFonts w:ascii="Arial" w:hAnsi="Arial" w:cs="Arial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с указанием темы статьи (темы доклада)</w:t>
            </w:r>
          </w:p>
        </w:tc>
      </w:tr>
      <w:tr w:rsidR="0018365E" w:rsidRPr="002F0D28" w:rsidTr="006A6FF3">
        <w:tc>
          <w:tcPr>
            <w:tcW w:w="503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79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Колмаков Юрий Викторович</w:t>
            </w:r>
          </w:p>
        </w:tc>
        <w:tc>
          <w:tcPr>
            <w:tcW w:w="1710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 xml:space="preserve">Основное место работы: Томский политехнический университет, Инженерная школа природных ресурсов, Отделение </w:t>
            </w:r>
            <w:r w:rsidRPr="002F0D28">
              <w:rPr>
                <w:rFonts w:ascii="Arial" w:hAnsi="Arial" w:cs="Arial"/>
                <w:sz w:val="20"/>
                <w:szCs w:val="20"/>
              </w:rPr>
              <w:lastRenderedPageBreak/>
              <w:t>геологии, доцент</w:t>
            </w:r>
          </w:p>
        </w:tc>
        <w:tc>
          <w:tcPr>
            <w:tcW w:w="1806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lastRenderedPageBreak/>
              <w:t>Доктор геолого-минералогических наук</w:t>
            </w:r>
          </w:p>
        </w:tc>
        <w:tc>
          <w:tcPr>
            <w:tcW w:w="1960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0D28">
              <w:rPr>
                <w:rFonts w:ascii="Arial" w:hAnsi="Arial" w:cs="Arial"/>
                <w:sz w:val="20"/>
                <w:szCs w:val="20"/>
              </w:rPr>
              <w:t>Петрофизика</w:t>
            </w:r>
            <w:proofErr w:type="spellEnd"/>
            <w:r w:rsidRPr="002F0D2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2F0D28">
              <w:rPr>
                <w:rFonts w:ascii="Arial" w:hAnsi="Arial" w:cs="Arial"/>
                <w:sz w:val="20"/>
                <w:szCs w:val="20"/>
              </w:rPr>
              <w:t>рудогенез</w:t>
            </w:r>
            <w:proofErr w:type="spellEnd"/>
            <w:r w:rsidRPr="002F0D28">
              <w:rPr>
                <w:rFonts w:ascii="Arial" w:hAnsi="Arial" w:cs="Arial"/>
                <w:sz w:val="20"/>
                <w:szCs w:val="20"/>
              </w:rPr>
              <w:t xml:space="preserve"> месторождений благородных металлов (Приложение № 2 Приказ_№_83-34 от 23.03.2020)</w:t>
            </w:r>
          </w:p>
        </w:tc>
        <w:tc>
          <w:tcPr>
            <w:tcW w:w="4557" w:type="dxa"/>
          </w:tcPr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1. Колмаков Ю. В., Сазонов А.М., Потехина Е.В., Леонтьев С.И., Тишин П.А.,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Гертнер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И.Ф., Полева Т.В. Особенности естественной электрической поляризации пород и руд золотосульфидного месторождения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Благодатное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 (Енисейский кряж) // Журнал СФУ, т. 1, № 2, 2008. С. 103-116.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2.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Гертнер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И.Ф., Врублевский В.В., Сазонов А.М., Краснова Т.С., Колмаков Ю. В., Звягина Е.А., Тишин П.А., Войтенко Д.Н. Изотопный состав и </w:t>
            </w: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магматические источники Крестовского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вулкано-плутона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>, Полярная Сибирь // Доклады РАН, т. 427, № 3, 2009 г. С. 370-376.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3. Колмаков Ю.В., Соколов С.В., Гусев Е.В. Геодинамические условия образования месторождений золота в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Патомском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нагорье, Восточная Сибирь: фактор их проявления в аномалиях магнитного поля // Отечественная геология, № 4, 2010. С. 8-14.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4. Колмаков Ю. В., Сазонов А.М., Врублевский В.В., Потехина Е.В.,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Боярко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Г.Ю. Вариации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фугитивности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серы в рудообразующем растворе: фактор магнитной зональности золотосульфидных месторождений // Известия ТПУ, т. 317, № 1, 2010. С. 87-91.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>5. Соколов С.В., Колмаков Ю.В., Гусев Е.В. Тектоническая обусловленность распределения сульфидной минерализации и магнитной анизотропии пород на золоторудном месторождении Чертово Корыто, Восточная Сибирь // Разведка и охрана недр, № 12, 2011. С. 19-26.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6. Колмаков Ю.В.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Золото-сульфидное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 месторождение Благодатное (Енисейский кряж, Россия): природа геофизических аномалий, последовательность и причины образования петрофизической зональности // Геология и геофизика, т. 55, № 11, 2014. С. 1667-1681.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7. Колмаков Ю.В., Потехина Е.В., Колмаков А.Ю. Геодинамические обстановки золотого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оруденения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Тонодского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Бодайбинского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районов (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Патомское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нагорье, Россия) // Вопросы естествознания, 4(12), 2016. С. 73–80.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8. Колмаков Ю.В., Сазонов А.М. Реконструкция петрофизической зональности золоторудного месторождения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Благодатное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 в Енисейском кряже: геодинамический и физико-химический аспекты // </w:t>
            </w: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>Литосфера, 22(5), 2022. С. 667-693. https://doi.org/10.24930/1681-9004-2022-22-5-667-693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9. Колмаков Ю.В., Сазонов А.М, Лазарев А.Ф., Колмаков А.Ю., Федоров В.Г. Геолого-генетическая интерпретация петрофизической неоднородности золото-сульфидного месторождения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Благодатное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 (Енисейский кряж) // Геология и минерально-сырьевые ресурсы Сибири, № 1(56), 2024. С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. 82–94.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Gertner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I. F.,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Tishin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P. A.,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Vrublevsky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V.V., 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Sazonov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A. M.,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Zvyagina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E. A.,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Kolmakov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Y. V.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Neoproterozoic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Alkaline Igneous Rocks,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Carbonatites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and Gold Deposits of the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Yeisei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Ridge, Central Siberia: Evidence of Mantle Plume Activity and Late Collision Shear Tectonics Associated with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Orogenic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gold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Mineralisation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// Resource Geology, Vol. 61, № 4, 2011. p. 316-343.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Sokolov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S.V.,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Kolmakov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Yu. V., Terre D.A.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Petrophysical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zoning elements of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Chertovo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Koryto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gold-ore deposit (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Patom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Upland, Eastern Siberia) // PGON2015 IOP Conf. Series: Earth and Environmental Science 27 (2015) 012028. – URL: http://iopscience.iop.org/1755-1315/27/1/012028.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Mustafaev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A.A.;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Gertner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I.F.; Ernst, R.E.;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Serov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P.A.;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Kolmakov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Y.V. The Paleozoic-Aged University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Foidolite-Gabbro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Pluton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of the Northeastern Part of the Kuznetsk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Alatau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Ridge, Siberia: Geochemical Characterization, Geochronology, Petrography and Geophysical Indication of Potential High-Grade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Nepheline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Ore. Minerals 2020, 10, 1128. https://www.mdpi.com/2075-163X/10/12 , (DOI): https://doi.org/10.3390/min10121128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Sazonov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A.M.,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Romanovsky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A.E.,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Gertner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I.F.,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Zvyagina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E.A.,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Krasnova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T.S.,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Grinev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O.M.,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Silyanov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S.A. and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Kolmakov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Y.V. Genesis of Precious Metal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Mineralisation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in Intrusions of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Ultramafic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Alkaline </w:t>
            </w:r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lastRenderedPageBreak/>
              <w:t xml:space="preserve">Rocks and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Carbonatites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in the North of the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Sibirian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Platform. Minerals 2021, 11, 354. https: //doi.org/10.3390/min11040354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5. Anatoly M.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Sazonov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Igor F.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Gertner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Agababa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Mustafaev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Tatyana S.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Krasnova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Yurii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V.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Kolmakov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, Cole G. Kingsbury and Vera A.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Gogoleva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. Early Triassic Episode of the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Kresty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Volcano–Plutonic Complex Formation in the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Maymecha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Kotuy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Alkaline Province, Polar Siberia: Geochemistry, Petrology and Uranium–Lead Geochronology. </w:t>
            </w:r>
            <w:proofErr w:type="spellStart"/>
            <w:r w:rsidRPr="00DC642F">
              <w:rPr>
                <w:rFonts w:ascii="Arial" w:hAnsi="Arial" w:cs="Arial"/>
                <w:bCs/>
                <w:iCs/>
                <w:sz w:val="18"/>
                <w:szCs w:val="18"/>
              </w:rPr>
              <w:t>Minerals</w:t>
            </w:r>
            <w:proofErr w:type="spellEnd"/>
            <w:r w:rsidRPr="00DC642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2024, 14, 83. https:// doi.org/10.3390/min14010083</w:t>
            </w:r>
          </w:p>
        </w:tc>
        <w:tc>
          <w:tcPr>
            <w:tcW w:w="2962" w:type="dxa"/>
          </w:tcPr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lastRenderedPageBreak/>
              <w:t xml:space="preserve">1. Колмаков Ю. В., Соколов С.В. О влиянии геодинамических условий образования месторождений золота на их проявление в магнитном поле // «Пятые научные чтения Ю.П.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Булашевича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. Глубинное строение. Геодинамика. Тепловое поле Земли.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lastRenderedPageBreak/>
              <w:t xml:space="preserve">Интерпретация геофизических полей» Институт геофизики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УрО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РАН. Екатеринбург, 2009. С. 247-251.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  <w:lang w:val="en-US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2.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Колмаков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Ю.В., Соколов С.В., Гусев Е.В.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Магнито-геологическая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модель месторождения Чертово Корыто (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Патомское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нагорье, Россия) // «Новые и нетрадиционные типы месторождений полезных ископаемых Прибайкалья и Забайкалья». Улан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-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Удэ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.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Геологический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институт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СО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РАН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, 2010.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  <w:lang w:val="en-US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Kolmakov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Y.V.,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Tishin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P.A. REE patterns in the ore-bearing of the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Chortovo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Koryto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gold deposit (Eastern Siberia) // Goldschmidt Conference. Prague, Czech Republic, 2011. Mineralogical Magazine, Vol. 5 – Issue 3 – p. 1214.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4.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Колмаков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Ю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.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.,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Сазонов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А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.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М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.,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Потехина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Е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.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.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Геофизический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прогноз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нового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перспективного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участка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Партизанском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золоторудном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узле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(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Енисейский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кряж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) //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Сборник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тезисов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докладов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восьмого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международного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конгресса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«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Цветные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металлы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и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минералы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»; RUSAL,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Сибирский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федеральный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университет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,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СИБЦВЕТМЕТНИИПРОЕКТ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и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др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>.,</w:t>
            </w:r>
            <w:proofErr w:type="gramEnd"/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Красноярск</w:t>
            </w:r>
            <w:r w:rsidRPr="00DC642F">
              <w:rPr>
                <w:rFonts w:ascii="Arial" w:eastAsia="TimesNewRomanPSMT" w:hAnsi="Arial" w:cs="Arial"/>
                <w:sz w:val="18"/>
                <w:szCs w:val="18"/>
                <w:lang w:val="en-US"/>
              </w:rPr>
              <w:t xml:space="preserve">, 2016.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С. 352-353.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lastRenderedPageBreak/>
              <w:t xml:space="preserve">5. Колмаков Ю.В. Новый подход к петрофизическому моделированию на примере золоторудного месторождения </w:t>
            </w:r>
            <w:proofErr w:type="gram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Благодатное</w:t>
            </w:r>
            <w:proofErr w:type="gram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(Енисейский кряж) // Теория и практика разведочной и промысловой геофизики: Материалы Международной научно-практической конференции, Пермский государственный национальный исследовательский университет. – Пермь, 2016, с. 130-134.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6. Колмаков Ю.В., Сазонов А.М. </w:t>
            </w:r>
            <w:proofErr w:type="gram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Золотое</w:t>
            </w:r>
            <w:proofErr w:type="gram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оруденение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Енисейского кряжа и физико-геологические особенности Партизанского узла // Научно-методические основы прогноза, поисков, оценки месторождений алмазов, благородных и цветных металлов. Материалы Х Международной научно-практической конференции. Москва, ЦНИГРИ, 2021. С. 111-112.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7.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Колмаков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Ю.В., Федоров В.Г., Лазарев А.Ф.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Пирротиновая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минерализация золоторудных месторождений Енисейского кряжа: состав, свойства и проявление в магнитном поле // Материалы Годичного собрания РМО «Минералого-геохимические исследования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lastRenderedPageBreak/>
              <w:t xml:space="preserve">для решения проблем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петр</w:t>
            </w:r>
            <w:proofErr w:type="gram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о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-</w:t>
            </w:r>
            <w:proofErr w:type="gram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и 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рудогенеза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, выявления новых видов минерального сырья и их рационального использования» и Федоровской сессии 2023. СПб. 2023. С. 124–125.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TimesNewRomanPSMT" w:hAnsi="Arial" w:cs="Arial"/>
                <w:sz w:val="18"/>
                <w:szCs w:val="18"/>
              </w:rPr>
            </w:pP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8. Колмаков Ю.В. Вещественная и петрофизическая эволюция минералообразующей системы золоторудного месторождения Чертово корыто (</w:t>
            </w:r>
            <w:proofErr w:type="spellStart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>Патомское</w:t>
            </w:r>
            <w:proofErr w:type="spellEnd"/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 нагорье, Россия) // Минералообразующие системы месторождений высокотехнологичных металлов: достижения и перспективы исследований. Всероссийская конференция, проводимая в рамках мероприятий, посвященных 300-летию РАН. М.: ИГЕМ РАН, 2023. С. 93–96.</w:t>
            </w:r>
          </w:p>
        </w:tc>
      </w:tr>
      <w:tr w:rsidR="0018365E" w:rsidRPr="002F0D28" w:rsidTr="006A6FF3">
        <w:tc>
          <w:tcPr>
            <w:tcW w:w="503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0D2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1479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Мельник Игорь Анатольевич</w:t>
            </w:r>
          </w:p>
        </w:tc>
        <w:tc>
          <w:tcPr>
            <w:tcW w:w="1710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Основное место работы: Томский политехнический университет, Инженерная школа природных ресурсов, Отделение нефтегазового дела, профессор</w:t>
            </w:r>
          </w:p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Доктор геолого-минералогических наук</w:t>
            </w:r>
          </w:p>
        </w:tc>
        <w:tc>
          <w:tcPr>
            <w:tcW w:w="1960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 xml:space="preserve">1. Статистический метод интерпретации материалов геофизических исследований скважин как инструмент определения интенсивностей вторичных геохимических процессов в качестве индикатора присутствия </w:t>
            </w:r>
            <w:r w:rsidRPr="002F0D28">
              <w:rPr>
                <w:rFonts w:ascii="Arial" w:hAnsi="Arial" w:cs="Arial"/>
                <w:sz w:val="20"/>
                <w:szCs w:val="20"/>
              </w:rPr>
              <w:lastRenderedPageBreak/>
              <w:t>углеводородов.</w:t>
            </w:r>
          </w:p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 xml:space="preserve">2. Определение пропущенных </w:t>
            </w:r>
            <w:proofErr w:type="spellStart"/>
            <w:r w:rsidRPr="002F0D28">
              <w:rPr>
                <w:rFonts w:ascii="Arial" w:hAnsi="Arial" w:cs="Arial"/>
                <w:sz w:val="20"/>
                <w:szCs w:val="20"/>
              </w:rPr>
              <w:t>нефтенасыщенных</w:t>
            </w:r>
            <w:proofErr w:type="spellEnd"/>
            <w:r w:rsidRPr="002F0D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0D28">
              <w:rPr>
                <w:rFonts w:ascii="Arial" w:hAnsi="Arial" w:cs="Arial"/>
                <w:sz w:val="20"/>
                <w:szCs w:val="20"/>
              </w:rPr>
              <w:t>низкоомных</w:t>
            </w:r>
            <w:proofErr w:type="spellEnd"/>
            <w:r w:rsidRPr="002F0D28">
              <w:rPr>
                <w:rFonts w:ascii="Arial" w:hAnsi="Arial" w:cs="Arial"/>
                <w:sz w:val="20"/>
                <w:szCs w:val="20"/>
              </w:rPr>
              <w:t xml:space="preserve"> коллекторов по данным геофизических исследований скважин.</w:t>
            </w:r>
          </w:p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(Приложение № 2 Приказ_№_83-34 от 23.03.2020)</w:t>
            </w:r>
          </w:p>
        </w:tc>
        <w:tc>
          <w:tcPr>
            <w:tcW w:w="4557" w:type="dxa"/>
          </w:tcPr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1. Мельник И.А.,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Недоливко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Н.М., Зимина С.В. Вторичные карбонаты юрских песчаных отложений как показатели продуктивности палеозоя //Известия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 2020. – Т. 331. - № 3. – С. 32-38. 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2. Мельник И.А. Интерпретация материалов геофизических исследований скважин на нефтегазовых месторождениях: учебное пособие/ Томск: Изд-во Томского политехнического университета, 2020. – 103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3. Мельник И.А., Харламов С.Н. К вопросу гидродинамического моделирования процессов восходящей миграции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реологически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сложных неоднородных флюидов из глубинных подземных </w:t>
            </w: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коллекторов// 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 2021. – Т. 332. - № 4. – С. 24-37.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4. Мельник И.А.,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Родивилов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Д.Б., Никитин И.А. Вторﮦичнﮦые геохимические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пр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ﮦоцессы в качестве атрﮦибута нﮦефтегазонﮦасыщенﮦнﮦости песчанﮦых коллекторﮦов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Тамбейского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месторﮦожденﮦия//Известия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 2021. – Т. 332. – №5. – С. 120-129.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>5. Мельник И.А. Основы статистически-корреляционной интерпретации материалов геофизических исследований скважин: учебник/Москва: РУСАЙНС, 2022. — 76 с.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>6. Мельник И.А. Определение статистической интенсивности вторичных геохимических процессов по материалам геофизических исследований скважин//Нефтяное хозяйство. – 2022. – №1. – С. 16-20.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>7. Мельник И.А. Размышление о глубинной нефти//Недропользование 21 век. – 2022. – №1. – С.104-107.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8. Мельник И.А.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Полимодальность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гистограмм геологических характеристик как критерий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флюидодинамики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//Известия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 2022. – Т. 333. - № 9. – С. 66-74.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9. Мельник И.А.,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Недоливко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Н.М.  Экстремумы дискретного распределения содержания бора как показатели гидродинамики осадконакопления//Нефтяное хозяйство. – 2022. – №10. – С. 14-18.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>10. Мельник И.А. Статистическая интенсивность процессов преобразования открытых геологических систем на основе геофизических данных//Геология и минерально-сырьевые ресурсы Сибири. – 2022. – №4. – С. 22-27.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11. Мельник И.А. Определение неявных нефтегазоносных песчаных интервалов методом статистически-корреляционной интерпретации данных ГИС//Известия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–2023. – Т.334. – №1. – С. 54-63.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12. Мельник И.А., Сидоренко Н.С., Жданова Ю.Ю. Применение метода статистически-корреляционной интерпретации данных ГИС на месторождении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Самотлор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// 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–2023. – Т. 334. – №9.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</w:tcPr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1. Мельник И.А. Результаты статистически-корреляционной интерпретации материалов геофизических исследований скважин//Новые вызовы фундаментальной и прикладной геологии нефти и газа — XXI век: Материалы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Всерос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. науч.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конф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. с участием иностранных ученых,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посв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. 150-летию акад. АН СССР И. М. Губкина и 110-летию акад. АН СССР и РАН А. А.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Трофимука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Ин-т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. геологии и геофизики им. А. А.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Трофимука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СО РАН;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>Новосиб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>. гос. ун-т. Новосибирск: ИПЦ НГУ, 2021. — 276 с. (С. 248-251).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65E" w:rsidRPr="002F0D28" w:rsidTr="006A6FF3">
        <w:tc>
          <w:tcPr>
            <w:tcW w:w="503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9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Лобова Галина (Анатольевна)</w:t>
            </w:r>
          </w:p>
        </w:tc>
        <w:tc>
          <w:tcPr>
            <w:tcW w:w="1710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Основное место работы: Томский политехнический университет, Инженерная школа природных ресурсов, Отделение геологии, доцент</w:t>
            </w:r>
          </w:p>
        </w:tc>
        <w:tc>
          <w:tcPr>
            <w:tcW w:w="1806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Доктор геолого-минералогических наук, доцент</w:t>
            </w:r>
          </w:p>
        </w:tc>
        <w:tc>
          <w:tcPr>
            <w:tcW w:w="1960" w:type="dxa"/>
          </w:tcPr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 xml:space="preserve">Тепловое поле Земли, прогнозирование и поиски </w:t>
            </w:r>
            <w:proofErr w:type="spellStart"/>
            <w:r w:rsidRPr="002F0D28">
              <w:rPr>
                <w:rFonts w:ascii="Arial" w:hAnsi="Arial" w:cs="Arial"/>
                <w:sz w:val="20"/>
                <w:szCs w:val="20"/>
              </w:rPr>
              <w:t>трудноизвлекаемой</w:t>
            </w:r>
            <w:proofErr w:type="spellEnd"/>
            <w:r w:rsidRPr="002F0D28">
              <w:rPr>
                <w:rFonts w:ascii="Arial" w:hAnsi="Arial" w:cs="Arial"/>
                <w:sz w:val="20"/>
                <w:szCs w:val="20"/>
              </w:rPr>
              <w:t xml:space="preserve"> нефти.</w:t>
            </w:r>
          </w:p>
          <w:p w:rsidR="0018365E" w:rsidRPr="002F0D28" w:rsidRDefault="0018365E" w:rsidP="007C0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D28">
              <w:rPr>
                <w:rFonts w:ascii="Arial" w:hAnsi="Arial" w:cs="Arial"/>
                <w:sz w:val="20"/>
                <w:szCs w:val="20"/>
              </w:rPr>
              <w:t>(Приложение № 2 Приказ_№_83-34 от 23.03.2020)</w:t>
            </w:r>
          </w:p>
        </w:tc>
        <w:tc>
          <w:tcPr>
            <w:tcW w:w="4557" w:type="dxa"/>
          </w:tcPr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1. Кузьменков С.Г.,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Аюпов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Р.Ш., Новиков М.В., Исаев В.И., Лобова Г.А., Стулов П.А.,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Бутин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В.С.,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Астапенко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Е.О. Методы увеличения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нефтеотдачи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на месторождениях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Югры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// 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– 2020. – Т. 331. - № 4. – С. 96-106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2. .Исаев В.И., Лобова Г.А., Фомин А.Н., Булатов В.И., Кузьменков С.Г.,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Галиева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М.Ф.,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Крутенко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Д.С. Тепловой поток 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нефтегазоносность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(п-ов Ямал, Томская обл.) // ГЕОРЕСУРСЫ. - 2019. – Т. 21. - № 3. – С. 125-135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3. Исаев В.И.,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Искоркина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А.А., Лобова Г.А.,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Старостенко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В.И.,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Тихоцкий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С.А., Фомин А.Н. Мезозойско-кайнозойский климат и неотектонические события как факторы реконструкции термической истории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нефтематеринской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баженовской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свиты арктического региона Западной Сибири (на примере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п-ва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Ямал) // Физика Земли. – 2018. – № 2. – С. 124–144.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4. Исаев В.И., Лобова Г.А., Мазуров А.К., Старостенко В.И., Фомин А.Н. Районирование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мегавпадин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юго-востока Западной Сибири по плотности ресурсов сланцевой нефти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тогурской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>баженовской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материнских свит // Геология нефти и газа. – 2018. – № 1. – С. 15–39.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5. Лобова Г.А., Лунёва Т.Е., Кириллина М.С. Районирование перспектив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</w:rPr>
              <w:t>нефтегазоносности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</w:rPr>
              <w:t>доюрских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 резервуаров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</w:rPr>
              <w:t>Нюрольской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</w:rPr>
              <w:t>мегавпадины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 (по данным 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</w:rPr>
              <w:t>палеотемпературного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 моделирования и бурения) // Известия Томского политехнического университета. Инжиниринг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</w:rPr>
              <w:t>георесурсов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</w:rPr>
              <w:t>. – 2018. – Т.329. – № 3- С. 123-133.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6. Исаев В.И., Лобова Г.А.,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Старостенко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В.И.,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Стоцкий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В.В., Фомин А.Н. Зональное районирование нефтеносных сланцевых толщ южного сегмента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Колтогорско-Уренгойского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палеорифта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// Нефтегазовая геология. Теория и практика. – 2017. - Т.12. - №2. - </w:t>
            </w:r>
            <w:hyperlink r:id="rId8" w:tgtFrame="_blank" w:history="1">
              <w:r w:rsidRPr="00DC642F">
                <w:rPr>
                  <w:rFonts w:ascii="Arial" w:eastAsia="Calibri" w:hAnsi="Arial" w:cs="Arial"/>
                  <w:color w:val="0000FF"/>
                  <w:sz w:val="18"/>
                  <w:szCs w:val="18"/>
                </w:rPr>
                <w:t>http://ngtp.ru/rub/11/15_2017.pdf</w:t>
              </w:r>
            </w:hyperlink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1.Лобова Г.А.,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Меренкова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А.С., Кузьменков С.Г. Тепловой поток, термическая история материнской нижнеюрской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тогурской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свиты 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нефтегазоносность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Бакчарской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мезовпадины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(юго-восток Западной Сибири) // Геофизический журнал-  2020. – Т. 42. - № 2. – С. 14-28.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2.Лобова Г.А., Лунева Т.Е., Исаев В.И., Фомин А.Н.,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Коржов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Ю.В.,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Галиева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М.Ф.,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Крутенко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Д.С. Тепловой поток, термическая история материнской нижнеюрской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тогурской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свиты 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нефтегазоносность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палеозоя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Колтогорского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мезопрогиба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(южный сегмент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Колтогорско-Уренгойского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палеорифта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DC642F">
              <w:rPr>
                <w:rFonts w:ascii="Arial" w:hAnsi="Arial" w:cs="Arial"/>
                <w:bCs/>
                <w:sz w:val="18"/>
                <w:szCs w:val="18"/>
              </w:rPr>
              <w:t>// Геофизический журнал</w:t>
            </w:r>
            <w:r w:rsidRPr="00DC642F">
              <w:rPr>
                <w:rFonts w:ascii="Arial" w:hAnsi="Arial" w:cs="Arial"/>
                <w:sz w:val="18"/>
                <w:szCs w:val="18"/>
              </w:rPr>
              <w:t xml:space="preserve">. - </w:t>
            </w:r>
            <w:r w:rsidRPr="00DC642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642F">
              <w:rPr>
                <w:rFonts w:ascii="Arial" w:hAnsi="Arial" w:cs="Arial"/>
                <w:sz w:val="18"/>
                <w:szCs w:val="18"/>
              </w:rPr>
              <w:t>2019. – Т. 41. - № 5. – С. 128-155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3.Лобова Г.А., Исаев В.И., Кузьменков С.Г., Лунёва Т.Е., Осипова Е.Н.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Нефтегазоносность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коллекторов коры выветривания и палеозоя юго-востока Западной Сибири (прогнозирование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трудноизвлекаемых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запасов) // Геофизический журнал. – 2018. – Т. 40. - № 4 – С. 73-106. 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4. Исаев В.И., Лобова Г.А.,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Стоцкий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В.В., Фомин </w:t>
            </w: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А.Н. Геотермия и зональность сланцевой нефтеносности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Колтогорско-Уренгойского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палеорифта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(юго-восток Западной Сибири) // Геофизический журнал. – 2018. – Т. 40. - № 3 – С. 54-80. </w:t>
            </w:r>
          </w:p>
          <w:p w:rsidR="0018365E" w:rsidRPr="00DC642F" w:rsidRDefault="0018365E" w:rsidP="00DC642F">
            <w:pPr>
              <w:spacing w:line="276" w:lineRule="auto"/>
              <w:jc w:val="both"/>
              <w:outlineLvl w:val="4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Isaev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V.I.,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Iskorkina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A.A,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Lobova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G.A.,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Starostenko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V.I.,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Tikhotskii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S.A.,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Fomin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A.N. Mesozoic–Cenozoic Climate and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Neotectonic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Events as Factors in Reconstructing the Thermal History of the Source-Rock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Bazhenov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Formation, Arctic Region, West Siberia, by the Example of the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Yamal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Peninsula //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Izvestiya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Physics of the Solid Earth. – 2018. - Vol. 54 - No. 2. - pp. 310–329.</w:t>
            </w:r>
          </w:p>
          <w:p w:rsidR="0018365E" w:rsidRPr="00DC642F" w:rsidRDefault="0018365E" w:rsidP="00DC642F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6.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Lobova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G.,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Stotsky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Isaev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V.,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Starostenko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V. SHALE OIL OF SOUTH SEGMENT OF KOLTOGOR-URENGOY  PALEORIFT //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Inernational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Multidisciplinary Scientific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Geoconference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(SGEM 2017): Science and Technologies in Geology, Exploration and Mining: Conference Proceedings: Conference Proceedings, , Volume 17, </w:t>
            </w:r>
            <w:proofErr w:type="spellStart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Albena</w:t>
            </w:r>
            <w:proofErr w:type="spellEnd"/>
            <w:r w:rsidRPr="00DC642F">
              <w:rPr>
                <w:rFonts w:ascii="Arial" w:hAnsi="Arial" w:cs="Arial"/>
                <w:bCs/>
                <w:sz w:val="18"/>
                <w:szCs w:val="18"/>
                <w:lang w:val="en-US"/>
              </w:rPr>
              <w:t>, , 29 June – 5 July. - Sofia, Bulgaria: STEF92 Technology Ltd, 51, 2017. - C. 867-874.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962" w:type="dxa"/>
          </w:tcPr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 xml:space="preserve">1.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Галиева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М.Ф., Исаев В.И.,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Крутенко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Д.С., Лобова Г.А., Меренкова А.С. КОРРЕЛЯЦИЯ ТЕПЛОВОГО ПОТОКА ЗЕМЛИ И НЕФТЕГАЗОНОСНОСТИ – ФУНДАМЕНТАЛЬНАЯ ЗАКОНОМЕРНОСТЬ ЗАПАДНОЙ СИБИРИ // Вопросы теории и практики геологической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интерпретации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 геофизических полей: Материалы 47-й сессии Международного научного семинара Д. Г. Успенского - В. Н. Страхова. Воронеж, 27 января - 30 января 2020 г. – Воронеж: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Издательскополиграфический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центр «Научная книга», 2020. -  С. 79-84.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2. Исаев В.И., Кузьменков С.Г., Лобова Г.А., Лунѐва Т.Е. Прогнозирование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трудноизвлекаемых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запасов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lastRenderedPageBreak/>
              <w:t>доюрских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нефтегазоносных комплексов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Нюрольской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мегавпадины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(Томская область) // Вопросы теории и практики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</w:rPr>
              <w:t>интерпретации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</w:rPr>
              <w:t xml:space="preserve"> геофизических полей: материалы 46-й сессии Международного научного семинара им. Д.Г. Успенского (г. Пермь, январь 2019 г.) – Пермь: ГИ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УрО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РАН, ПГНИУ, 2019. –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DC642F">
              <w:rPr>
                <w:rFonts w:ascii="Arial" w:hAnsi="Arial" w:cs="Arial"/>
                <w:sz w:val="18"/>
                <w:szCs w:val="18"/>
              </w:rPr>
              <w:t>. 148-152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3.Лобова Г.А., Лунёва Т.Е.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Нефтегазоносность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палеозойского резервуара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Нюрольской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мегавпадины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палеотемпературному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критерию // ГЛУБИННОЕ СТРОЕНИЕ, ГЕОДИНАМИКА, ТЕПЛОВОЕ ПОЛЕ ЗЕМЛИ, ИНТЕРПРЕТАЦИЯ ГЕОФИЗИЧЕСКИХ ПОЛЕЙ. Девятые научные чтения памяти Ю.П.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Булашевича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. – Екатеринбург: ИГФ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УрО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РАН, 2017. – С. 255-259.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 xml:space="preserve">4. Лунёва Т. Е., Лобова Г.А. Оценка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нефтегазоносности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коры выветривания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Усть-Тымской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</w:rPr>
              <w:t>мегавпадины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 (по данным геотермии) // 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// </w:t>
            </w:r>
            <w:r w:rsidRPr="00DC642F">
              <w:rPr>
                <w:rFonts w:ascii="Arial" w:hAnsi="Arial" w:cs="Arial"/>
                <w:bCs/>
                <w:sz w:val="18"/>
                <w:szCs w:val="18"/>
              </w:rPr>
              <w:t>Геофизические методы при разведке недр</w:t>
            </w:r>
            <w:r w:rsidRPr="00DC642F">
              <w:rPr>
                <w:rFonts w:ascii="Arial" w:eastAsia="TimesNewRomanPSMT" w:hAnsi="Arial" w:cs="Arial"/>
                <w:sz w:val="18"/>
                <w:szCs w:val="18"/>
              </w:rPr>
              <w:t xml:space="preserve">. Всероссийская научно-практическая конференция. – Томск: Изд-во ТПУ, 2016. </w:t>
            </w:r>
            <w:r w:rsidRPr="00DC642F">
              <w:rPr>
                <w:rFonts w:ascii="Arial" w:hAnsi="Arial" w:cs="Arial"/>
                <w:sz w:val="18"/>
                <w:szCs w:val="18"/>
              </w:rPr>
              <w:t>– С. 139–142.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42F">
              <w:rPr>
                <w:rFonts w:ascii="Arial" w:hAnsi="Arial" w:cs="Arial"/>
                <w:sz w:val="18"/>
                <w:szCs w:val="18"/>
              </w:rPr>
              <w:t>5.</w:t>
            </w:r>
            <w:r w:rsidRPr="00DC642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DC642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Lobova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C642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Isaev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DC642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Fomin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C642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Stotsky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 xml:space="preserve">Searches shale oil in </w:t>
            </w:r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Western Siberia //16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th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Inernational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 xml:space="preserve"> Multidisciplinary Scientific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Geoconference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 xml:space="preserve"> SGEM 2016, 30 June – 6 July, 2016, </w:t>
            </w:r>
            <w:proofErr w:type="spell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Albena</w:t>
            </w:r>
            <w:proofErr w:type="spellEnd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Bulgaria</w:t>
            </w:r>
            <w:proofErr w:type="gramEnd"/>
            <w:r w:rsidRPr="00DC642F">
              <w:rPr>
                <w:rFonts w:ascii="Arial" w:hAnsi="Arial" w:cs="Arial"/>
                <w:sz w:val="18"/>
                <w:szCs w:val="18"/>
                <w:lang w:val="en-US"/>
              </w:rPr>
              <w:t>. C</w:t>
            </w:r>
            <w:r w:rsidRPr="00DC642F">
              <w:rPr>
                <w:rFonts w:ascii="Arial" w:hAnsi="Arial" w:cs="Arial"/>
                <w:sz w:val="18"/>
                <w:szCs w:val="18"/>
              </w:rPr>
              <w:t xml:space="preserve">. 941-948. </w:t>
            </w:r>
          </w:p>
          <w:p w:rsidR="0018365E" w:rsidRPr="00DC642F" w:rsidRDefault="0018365E" w:rsidP="00DC64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08E1" w:rsidRPr="002F0D28" w:rsidRDefault="00D308E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8E1" w:rsidRPr="002F0D28" w:rsidRDefault="00D308E1" w:rsidP="00D3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8E1" w:rsidRPr="002F0D28" w:rsidRDefault="00D308E1" w:rsidP="00D3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55A9" w:rsidRPr="002F0D28" w:rsidRDefault="002F0D28" w:rsidP="00D308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Проректор по НСП</w:t>
      </w:r>
      <w:r w:rsidR="00DC55A9" w:rsidRPr="002F0D28">
        <w:rPr>
          <w:rFonts w:ascii="Arial" w:hAnsi="Arial" w:cs="Arial"/>
          <w:sz w:val="24"/>
          <w:szCs w:val="24"/>
        </w:rPr>
        <w:t xml:space="preserve">                                        </w:t>
      </w:r>
      <w:r w:rsidR="00D308E1" w:rsidRPr="002F0D2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DC55A9" w:rsidRPr="002F0D28">
        <w:rPr>
          <w:rFonts w:ascii="Arial" w:hAnsi="Arial" w:cs="Arial"/>
          <w:sz w:val="24"/>
          <w:szCs w:val="24"/>
        </w:rPr>
        <w:t xml:space="preserve">________________________ </w:t>
      </w:r>
      <w:r>
        <w:rPr>
          <w:rFonts w:ascii="Arial" w:hAnsi="Arial" w:cs="Arial"/>
          <w:sz w:val="24"/>
          <w:szCs w:val="24"/>
        </w:rPr>
        <w:t>А. С. Гоголев</w:t>
      </w:r>
    </w:p>
    <w:p w:rsidR="00DC55A9" w:rsidRPr="002F0D28" w:rsidRDefault="00DC55A9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0D2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F0D28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 w:rsidRPr="002F0D28">
        <w:rPr>
          <w:rFonts w:ascii="Arial" w:hAnsi="Arial" w:cs="Arial"/>
          <w:szCs w:val="24"/>
        </w:rPr>
        <w:t>подпись</w:t>
      </w:r>
      <w:r w:rsidRPr="002F0D28">
        <w:rPr>
          <w:rFonts w:ascii="Arial" w:hAnsi="Arial" w:cs="Arial"/>
          <w:sz w:val="24"/>
          <w:szCs w:val="24"/>
        </w:rPr>
        <w:t xml:space="preserve">         </w:t>
      </w:r>
      <w:r w:rsidR="00D308E1" w:rsidRPr="002F0D28">
        <w:rPr>
          <w:rFonts w:ascii="Arial" w:hAnsi="Arial" w:cs="Arial"/>
          <w:sz w:val="24"/>
          <w:szCs w:val="24"/>
        </w:rPr>
        <w:t xml:space="preserve">        </w:t>
      </w:r>
      <w:r w:rsidRPr="002F0D28">
        <w:rPr>
          <w:rFonts w:ascii="Arial" w:hAnsi="Arial" w:cs="Arial"/>
          <w:sz w:val="24"/>
          <w:szCs w:val="24"/>
        </w:rPr>
        <w:t xml:space="preserve">      </w:t>
      </w:r>
      <w:r w:rsidR="00A43E65" w:rsidRPr="002F0D28">
        <w:rPr>
          <w:rFonts w:ascii="Arial" w:hAnsi="Arial" w:cs="Arial"/>
          <w:sz w:val="24"/>
          <w:szCs w:val="24"/>
        </w:rPr>
        <w:t xml:space="preserve">       </w:t>
      </w:r>
    </w:p>
    <w:sectPr w:rsidR="00DC55A9" w:rsidRPr="002F0D28" w:rsidSect="0048514D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4C6" w:rsidRDefault="009174C6" w:rsidP="00EB7DCC">
      <w:pPr>
        <w:spacing w:after="0" w:line="240" w:lineRule="auto"/>
      </w:pPr>
      <w:r>
        <w:separator/>
      </w:r>
    </w:p>
  </w:endnote>
  <w:endnote w:type="continuationSeparator" w:id="0">
    <w:p w:rsidR="009174C6" w:rsidRDefault="009174C6" w:rsidP="00EB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9313613"/>
      <w:docPartObj>
        <w:docPartGallery w:val="Page Numbers (Bottom of Page)"/>
        <w:docPartUnique/>
      </w:docPartObj>
    </w:sdtPr>
    <w:sdtContent>
      <w:p w:rsidR="009321F1" w:rsidRDefault="00F56537">
        <w:pPr>
          <w:pStyle w:val="a7"/>
          <w:jc w:val="center"/>
        </w:pPr>
        <w:r>
          <w:fldChar w:fldCharType="begin"/>
        </w:r>
        <w:r w:rsidR="006B093B">
          <w:instrText>PAGE   \* MERGEFORMAT</w:instrText>
        </w:r>
        <w:r>
          <w:fldChar w:fldCharType="separate"/>
        </w:r>
        <w:r w:rsidR="00103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21F1" w:rsidRDefault="009321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4C6" w:rsidRDefault="009174C6" w:rsidP="00EB7DCC">
      <w:pPr>
        <w:spacing w:after="0" w:line="240" w:lineRule="auto"/>
      </w:pPr>
      <w:r>
        <w:separator/>
      </w:r>
    </w:p>
  </w:footnote>
  <w:footnote w:type="continuationSeparator" w:id="0">
    <w:p w:rsidR="009174C6" w:rsidRDefault="009174C6" w:rsidP="00EB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D28"/>
    <w:multiLevelType w:val="hybridMultilevel"/>
    <w:tmpl w:val="A8DC8D00"/>
    <w:lvl w:ilvl="0" w:tplc="9BE42AA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C3FA9"/>
    <w:multiLevelType w:val="hybridMultilevel"/>
    <w:tmpl w:val="8F5C5F36"/>
    <w:lvl w:ilvl="0" w:tplc="D3D89E7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>
    <w:nsid w:val="2C6F6717"/>
    <w:multiLevelType w:val="hybridMultilevel"/>
    <w:tmpl w:val="9DAA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0C43"/>
    <w:multiLevelType w:val="hybridMultilevel"/>
    <w:tmpl w:val="FAE0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C17B3"/>
    <w:multiLevelType w:val="hybridMultilevel"/>
    <w:tmpl w:val="11C0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E6FCE"/>
    <w:multiLevelType w:val="hybridMultilevel"/>
    <w:tmpl w:val="CAE2D660"/>
    <w:lvl w:ilvl="0" w:tplc="9934E25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26BAE"/>
    <w:multiLevelType w:val="hybridMultilevel"/>
    <w:tmpl w:val="69F4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92A79"/>
    <w:multiLevelType w:val="hybridMultilevel"/>
    <w:tmpl w:val="D71255EE"/>
    <w:lvl w:ilvl="0" w:tplc="7B560FAE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>
    <w:nsid w:val="7C0F10D1"/>
    <w:multiLevelType w:val="hybridMultilevel"/>
    <w:tmpl w:val="AE2EB8DA"/>
    <w:lvl w:ilvl="0" w:tplc="0419000F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F9F"/>
    <w:rsid w:val="00074DE2"/>
    <w:rsid w:val="000A7334"/>
    <w:rsid w:val="00103A2E"/>
    <w:rsid w:val="00122889"/>
    <w:rsid w:val="00123239"/>
    <w:rsid w:val="001246F7"/>
    <w:rsid w:val="0014504E"/>
    <w:rsid w:val="00165475"/>
    <w:rsid w:val="0018365E"/>
    <w:rsid w:val="001C7ABD"/>
    <w:rsid w:val="001E58BB"/>
    <w:rsid w:val="001F1474"/>
    <w:rsid w:val="001F6C62"/>
    <w:rsid w:val="00222E98"/>
    <w:rsid w:val="00223E83"/>
    <w:rsid w:val="002606E6"/>
    <w:rsid w:val="002636EB"/>
    <w:rsid w:val="0026454D"/>
    <w:rsid w:val="00275EF6"/>
    <w:rsid w:val="00286726"/>
    <w:rsid w:val="00296CC3"/>
    <w:rsid w:val="002B4C42"/>
    <w:rsid w:val="002B5764"/>
    <w:rsid w:val="002D1CE7"/>
    <w:rsid w:val="002E239A"/>
    <w:rsid w:val="002F0D28"/>
    <w:rsid w:val="003C5C79"/>
    <w:rsid w:val="003E6C80"/>
    <w:rsid w:val="0040749C"/>
    <w:rsid w:val="004146F6"/>
    <w:rsid w:val="004441B6"/>
    <w:rsid w:val="00446BAB"/>
    <w:rsid w:val="0048514D"/>
    <w:rsid w:val="00492A37"/>
    <w:rsid w:val="004A4124"/>
    <w:rsid w:val="004D0C14"/>
    <w:rsid w:val="004D7044"/>
    <w:rsid w:val="00503824"/>
    <w:rsid w:val="005079DF"/>
    <w:rsid w:val="00517935"/>
    <w:rsid w:val="00577D41"/>
    <w:rsid w:val="00581665"/>
    <w:rsid w:val="005910AB"/>
    <w:rsid w:val="005D02BD"/>
    <w:rsid w:val="005F05F0"/>
    <w:rsid w:val="00606465"/>
    <w:rsid w:val="00652279"/>
    <w:rsid w:val="00682C5A"/>
    <w:rsid w:val="006A532B"/>
    <w:rsid w:val="006A6FF3"/>
    <w:rsid w:val="006B093B"/>
    <w:rsid w:val="006B1444"/>
    <w:rsid w:val="006D59CE"/>
    <w:rsid w:val="00703FB9"/>
    <w:rsid w:val="007544BB"/>
    <w:rsid w:val="00757B30"/>
    <w:rsid w:val="0077698D"/>
    <w:rsid w:val="007B2BD1"/>
    <w:rsid w:val="007B7068"/>
    <w:rsid w:val="007C04B2"/>
    <w:rsid w:val="007F1595"/>
    <w:rsid w:val="00841AB3"/>
    <w:rsid w:val="00855455"/>
    <w:rsid w:val="00857181"/>
    <w:rsid w:val="008C014C"/>
    <w:rsid w:val="008C32FF"/>
    <w:rsid w:val="008D6083"/>
    <w:rsid w:val="008E52D6"/>
    <w:rsid w:val="008F7125"/>
    <w:rsid w:val="008F75C3"/>
    <w:rsid w:val="00903DB8"/>
    <w:rsid w:val="009174C6"/>
    <w:rsid w:val="009321F1"/>
    <w:rsid w:val="00932F1F"/>
    <w:rsid w:val="00954423"/>
    <w:rsid w:val="00986FB1"/>
    <w:rsid w:val="00990421"/>
    <w:rsid w:val="00996C72"/>
    <w:rsid w:val="009A0EF3"/>
    <w:rsid w:val="009A239F"/>
    <w:rsid w:val="00A36B10"/>
    <w:rsid w:val="00A424C6"/>
    <w:rsid w:val="00A43E65"/>
    <w:rsid w:val="00A76254"/>
    <w:rsid w:val="00A869B2"/>
    <w:rsid w:val="00AD0D4C"/>
    <w:rsid w:val="00AD40D1"/>
    <w:rsid w:val="00AF33A7"/>
    <w:rsid w:val="00AF66AF"/>
    <w:rsid w:val="00AF7674"/>
    <w:rsid w:val="00B73E88"/>
    <w:rsid w:val="00B91168"/>
    <w:rsid w:val="00B9754F"/>
    <w:rsid w:val="00BC2E7F"/>
    <w:rsid w:val="00BD460E"/>
    <w:rsid w:val="00C70614"/>
    <w:rsid w:val="00C85338"/>
    <w:rsid w:val="00CC3059"/>
    <w:rsid w:val="00CC467F"/>
    <w:rsid w:val="00CD471A"/>
    <w:rsid w:val="00D046AF"/>
    <w:rsid w:val="00D308E1"/>
    <w:rsid w:val="00D578C4"/>
    <w:rsid w:val="00D73B00"/>
    <w:rsid w:val="00D8275C"/>
    <w:rsid w:val="00D83882"/>
    <w:rsid w:val="00DB1471"/>
    <w:rsid w:val="00DC55A9"/>
    <w:rsid w:val="00DC642F"/>
    <w:rsid w:val="00E075F8"/>
    <w:rsid w:val="00E13962"/>
    <w:rsid w:val="00E23B62"/>
    <w:rsid w:val="00E25EAC"/>
    <w:rsid w:val="00E34876"/>
    <w:rsid w:val="00E42222"/>
    <w:rsid w:val="00E858B4"/>
    <w:rsid w:val="00EB2472"/>
    <w:rsid w:val="00EB7DCC"/>
    <w:rsid w:val="00EC1F9F"/>
    <w:rsid w:val="00ED4405"/>
    <w:rsid w:val="00ED69EC"/>
    <w:rsid w:val="00EE1F60"/>
    <w:rsid w:val="00EF6895"/>
    <w:rsid w:val="00F300EE"/>
    <w:rsid w:val="00F56537"/>
    <w:rsid w:val="00F67E05"/>
    <w:rsid w:val="00F9027F"/>
    <w:rsid w:val="00FD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122889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F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DCC"/>
  </w:style>
  <w:style w:type="paragraph" w:styleId="a7">
    <w:name w:val="footer"/>
    <w:basedOn w:val="a"/>
    <w:link w:val="a8"/>
    <w:uiPriority w:val="99"/>
    <w:unhideWhenUsed/>
    <w:rsid w:val="00EB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DCC"/>
  </w:style>
  <w:style w:type="character" w:styleId="a9">
    <w:name w:val="Hyperlink"/>
    <w:basedOn w:val="a0"/>
    <w:uiPriority w:val="99"/>
    <w:unhideWhenUsed/>
    <w:rsid w:val="00223E83"/>
    <w:rPr>
      <w:color w:val="0000FF"/>
      <w:u w:val="single"/>
    </w:rPr>
  </w:style>
  <w:style w:type="character" w:customStyle="1" w:styleId="text">
    <w:name w:val="text"/>
    <w:basedOn w:val="a0"/>
    <w:rsid w:val="00E13962"/>
  </w:style>
  <w:style w:type="character" w:customStyle="1" w:styleId="10">
    <w:name w:val="Заголовок 1 Знак"/>
    <w:basedOn w:val="a0"/>
    <w:link w:val="1"/>
    <w:uiPriority w:val="9"/>
    <w:rsid w:val="00122889"/>
    <w:rPr>
      <w:rFonts w:ascii="Times New Roman" w:hAnsi="Times New Roman" w:cs="Times New Roman"/>
      <w:b/>
      <w:sz w:val="28"/>
      <w:szCs w:val="28"/>
    </w:rPr>
  </w:style>
  <w:style w:type="paragraph" w:styleId="aa">
    <w:name w:val="No Spacing"/>
    <w:uiPriority w:val="1"/>
    <w:qFormat/>
    <w:rsid w:val="001F6C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-cas.main.tpu.ru/owa/redir.aspx?C=CaS3Z6G-P38cq3jVj2HxNNj4JtffxapS0PB4L5L4Y0mIrII9JZzUCA..&amp;URL=http%3a%2f%2fngtp.ru%2frub%2f11%2f15_20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4892-59EE-4550-A41F-CDD0B2C4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sokol</cp:lastModifiedBy>
  <cp:revision>16</cp:revision>
  <dcterms:created xsi:type="dcterms:W3CDTF">2024-04-05T09:17:00Z</dcterms:created>
  <dcterms:modified xsi:type="dcterms:W3CDTF">2025-04-30T07:18:00Z</dcterms:modified>
</cp:coreProperties>
</file>