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8"/>
        <w:gridCol w:w="1327"/>
        <w:gridCol w:w="1395"/>
        <w:gridCol w:w="6650"/>
      </w:tblGrid>
      <w:tr w:rsidR="0097259F">
        <w:trPr>
          <w:trHeight w:val="2324"/>
        </w:trPr>
        <w:tc>
          <w:tcPr>
            <w:tcW w:w="14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ФОНД ОЦЕНОЧНЫХ СРЕДСТВ ПО ПРАКТИКЕ</w:t>
            </w:r>
          </w:p>
          <w:p w:rsidR="0097259F" w:rsidRDefault="00011DBE">
            <w:pPr>
              <w:spacing w:after="0" w:line="240" w:lineRule="auto"/>
              <w:jc w:val="center"/>
              <w:rPr>
                <w:rFonts w:eastAsia="MS Mincho"/>
                <w:b/>
                <w:szCs w:val="24"/>
              </w:rPr>
            </w:pPr>
            <w:r>
              <w:rPr>
                <w:rFonts w:eastAsia="MS Mincho"/>
                <w:b/>
                <w:szCs w:val="24"/>
              </w:rPr>
              <w:t>ПРИЕМ 2024 г.</w:t>
            </w:r>
          </w:p>
          <w:p w:rsidR="0097259F" w:rsidRDefault="00011DBE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Cs w:val="24"/>
              </w:rPr>
            </w:pPr>
            <w:r>
              <w:rPr>
                <w:rFonts w:eastAsia="MS Mincho"/>
                <w:b/>
                <w:szCs w:val="24"/>
              </w:rPr>
              <w:t xml:space="preserve">ФОРМА ОБУЧЕНИЯ </w:t>
            </w:r>
            <w:r>
              <w:rPr>
                <w:rFonts w:eastAsia="MS Mincho"/>
                <w:b/>
                <w:szCs w:val="24"/>
                <w:u w:val="single"/>
              </w:rPr>
              <w:t>ЗАОЧНАЯ</w:t>
            </w: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7259F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Вид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Производственная практика</w:t>
            </w:r>
          </w:p>
        </w:tc>
      </w:tr>
      <w:tr w:rsidR="0097259F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Тип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bCs/>
                <w:szCs w:val="24"/>
              </w:rPr>
              <w:t>Преддипломная практика</w:t>
            </w:r>
          </w:p>
        </w:tc>
      </w:tr>
      <w:tr w:rsidR="0097259F">
        <w:trPr>
          <w:trHeight w:val="567"/>
        </w:trPr>
        <w:tc>
          <w:tcPr>
            <w:tcW w:w="5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97259F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Направление подготовки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20.03.01 Техносферная безопасность</w:t>
            </w:r>
          </w:p>
        </w:tc>
      </w:tr>
      <w:tr w:rsidR="0097259F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Основная профессиональная образовательная программа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259F" w:rsidRDefault="00EA3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t>Защита в чрезвычайных ситуациях</w:t>
            </w:r>
          </w:p>
        </w:tc>
      </w:tr>
      <w:tr w:rsidR="0097259F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Уровень образования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высшее образование – бакалавриат</w:t>
            </w:r>
          </w:p>
        </w:tc>
      </w:tr>
      <w:tr w:rsidR="0097259F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97259F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Курс</w:t>
            </w:r>
          </w:p>
        </w:tc>
        <w:tc>
          <w:tcPr>
            <w:tcW w:w="13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семестр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</w:t>
            </w:r>
          </w:p>
        </w:tc>
      </w:tr>
      <w:tr w:rsidR="0097259F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Трудоемкость в кредитах (зачетных единицах)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</w:tr>
      <w:tr w:rsidR="0097259F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97259F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97259F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Calibri"/>
              </w:rPr>
              <w:t>Заведующий кафедрой - руководитель отделения на правах кафедры ОЦТиБ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Е. В. Телипенко</w:t>
            </w:r>
          </w:p>
        </w:tc>
      </w:tr>
      <w:tr w:rsidR="0097259F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Руководитель ОПОП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Н.</w:t>
            </w:r>
            <w:r w:rsidR="00EA3993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Ю. Луговцова</w:t>
            </w:r>
          </w:p>
        </w:tc>
      </w:tr>
      <w:tr w:rsidR="0097259F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t>Преподаватель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97259F" w:rsidRDefault="0097259F"/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vertAlign w:val="superscript"/>
              </w:rPr>
            </w:pPr>
            <w:r>
              <w:t>Н.</w:t>
            </w:r>
            <w:r w:rsidR="00EA3993">
              <w:t xml:space="preserve"> </w:t>
            </w:r>
            <w:bookmarkStart w:id="0" w:name="_GoBack"/>
            <w:bookmarkEnd w:id="0"/>
            <w:r>
              <w:t>Ю. Луговцова</w:t>
            </w:r>
          </w:p>
        </w:tc>
      </w:tr>
    </w:tbl>
    <w:p w:rsidR="0097259F" w:rsidRDefault="009725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97259F" w:rsidRDefault="009725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97259F" w:rsidRDefault="009725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97259F" w:rsidRDefault="0097259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</w:rPr>
        <w:sectPr w:rsidR="0097259F">
          <w:headerReference w:type="default" r:id="rId8"/>
          <w:footerReference w:type="first" r:id="rId9"/>
          <w:type w:val="continuous"/>
          <w:pgSz w:w="16838" w:h="11906" w:orient="landscape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97259F" w:rsidRDefault="00011DBE">
      <w:pPr>
        <w:pStyle w:val="1"/>
      </w:pPr>
      <w:r>
        <w:lastRenderedPageBreak/>
        <w:t>Роль практики в формировании компетенций выпускника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3"/>
        <w:gridCol w:w="810"/>
        <w:gridCol w:w="1233"/>
        <w:gridCol w:w="2283"/>
        <w:gridCol w:w="1276"/>
        <w:gridCol w:w="2551"/>
        <w:gridCol w:w="1418"/>
        <w:gridCol w:w="2976"/>
      </w:tblGrid>
      <w:tr w:rsidR="0097259F">
        <w:trPr>
          <w:trHeight w:val="373"/>
          <w:tblHeader/>
        </w:trPr>
        <w:tc>
          <w:tcPr>
            <w:tcW w:w="2053" w:type="dxa"/>
            <w:vMerge w:val="restart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>Элемент образовательной программы (дисциплина, практика, ГИА)</w:t>
            </w:r>
          </w:p>
        </w:tc>
        <w:tc>
          <w:tcPr>
            <w:tcW w:w="810" w:type="dxa"/>
            <w:vMerge w:val="restart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>Семестр</w:t>
            </w:r>
          </w:p>
        </w:tc>
        <w:tc>
          <w:tcPr>
            <w:tcW w:w="1233" w:type="dxa"/>
            <w:vMerge w:val="restart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>Код компетенции</w:t>
            </w:r>
          </w:p>
        </w:tc>
        <w:tc>
          <w:tcPr>
            <w:tcW w:w="2283" w:type="dxa"/>
            <w:vMerge w:val="restart"/>
            <w:shd w:val="clear" w:color="auto" w:fill="EDEDED"/>
            <w:vAlign w:val="center"/>
          </w:tcPr>
          <w:p w:rsidR="0097259F" w:rsidRDefault="00011DBE">
            <w:pPr>
              <w:pStyle w:val="aff7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827" w:type="dxa"/>
            <w:gridSpan w:val="2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>Индикаторы достижения компетенций</w:t>
            </w:r>
          </w:p>
        </w:tc>
        <w:tc>
          <w:tcPr>
            <w:tcW w:w="4394" w:type="dxa"/>
            <w:gridSpan w:val="2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>Составляющие результатов освоения (дескрипторы компетенций)</w:t>
            </w:r>
          </w:p>
        </w:tc>
      </w:tr>
      <w:tr w:rsidR="0097259F">
        <w:trPr>
          <w:trHeight w:val="417"/>
          <w:tblHeader/>
        </w:trPr>
        <w:tc>
          <w:tcPr>
            <w:tcW w:w="2053" w:type="dxa"/>
            <w:vMerge/>
            <w:shd w:val="clear" w:color="auto" w:fill="EDEDED"/>
            <w:vAlign w:val="center"/>
          </w:tcPr>
          <w:p w:rsidR="0097259F" w:rsidRDefault="0097259F">
            <w:pPr>
              <w:pStyle w:val="aff7"/>
            </w:pPr>
          </w:p>
        </w:tc>
        <w:tc>
          <w:tcPr>
            <w:tcW w:w="810" w:type="dxa"/>
            <w:vMerge/>
            <w:shd w:val="clear" w:color="auto" w:fill="EDEDED"/>
            <w:vAlign w:val="center"/>
          </w:tcPr>
          <w:p w:rsidR="0097259F" w:rsidRDefault="0097259F">
            <w:pPr>
              <w:pStyle w:val="aff7"/>
            </w:pPr>
          </w:p>
        </w:tc>
        <w:tc>
          <w:tcPr>
            <w:tcW w:w="1233" w:type="dxa"/>
            <w:vMerge/>
            <w:shd w:val="clear" w:color="auto" w:fill="EDEDED"/>
            <w:vAlign w:val="center"/>
          </w:tcPr>
          <w:p w:rsidR="0097259F" w:rsidRDefault="0097259F">
            <w:pPr>
              <w:pStyle w:val="aff7"/>
            </w:pPr>
          </w:p>
        </w:tc>
        <w:tc>
          <w:tcPr>
            <w:tcW w:w="2283" w:type="dxa"/>
            <w:vMerge/>
            <w:shd w:val="clear" w:color="auto" w:fill="EDEDED"/>
            <w:vAlign w:val="center"/>
          </w:tcPr>
          <w:p w:rsidR="0097259F" w:rsidRDefault="0097259F">
            <w:pPr>
              <w:pStyle w:val="aff7"/>
            </w:pPr>
          </w:p>
        </w:tc>
        <w:tc>
          <w:tcPr>
            <w:tcW w:w="1276" w:type="dxa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>Код</w:t>
            </w:r>
          </w:p>
        </w:tc>
        <w:tc>
          <w:tcPr>
            <w:tcW w:w="2551" w:type="dxa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>Наименование</w:t>
            </w:r>
          </w:p>
        </w:tc>
        <w:tc>
          <w:tcPr>
            <w:tcW w:w="1418" w:type="dxa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>Код</w:t>
            </w:r>
          </w:p>
        </w:tc>
        <w:tc>
          <w:tcPr>
            <w:tcW w:w="2976" w:type="dxa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>Наименование</w:t>
            </w:r>
          </w:p>
        </w:tc>
      </w:tr>
      <w:tr w:rsidR="0097259F">
        <w:trPr>
          <w:trHeight w:val="347"/>
        </w:trPr>
        <w:tc>
          <w:tcPr>
            <w:tcW w:w="205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Производственная практика. Преддипломная практика</w:t>
            </w:r>
          </w:p>
        </w:tc>
        <w:tc>
          <w:tcPr>
            <w:tcW w:w="810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</w:t>
            </w:r>
          </w:p>
        </w:tc>
        <w:tc>
          <w:tcPr>
            <w:tcW w:w="123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</w:t>
            </w:r>
          </w:p>
        </w:tc>
        <w:tc>
          <w:tcPr>
            <w:tcW w:w="228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учитывать современные тенденции развития техники и технологий в области техносферной безопасности, измерительной и вычислительной техники, информационных технологий при решении типовых задач в области профессиональной деятельности, связанной с защитой окружающей среды и обеспечением безопасности человека</w:t>
            </w: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1.1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Способен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 профессиональной деятельности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математическим аппаратом алгебры и дифференциального исчисления функции одной переменной для проведения теоретического исследования и моделирования физических и химических процессов и явлений, а также, для решения профессиональных задач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ОПК(У)-1.1В2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аппаратом дифференциального и интегрального исчисления, методами решения обыкновенных дифференциальных уравнений для описания, анализа, теоретического и экспериментального исследования и моделирования физических явлений и процессов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ОПК(У)-1.1В3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аппаратом теории рядов, теории вероятностей и математической статистики для описания, анализа, теоретического и экспериментального исследования и моделирования инженерных задач, физических и химических явлений и процессов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изученные методы алгебры и анализа для решения стандартных задач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ОПК(У)-1.1У2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аппарат дифференциального и интегрального исчисления, и выполнять основные действия над комплексными числами при решении инженерных задач, решать дифференциальные уравнения первого и высших порядков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ОПК(У)-1.1У3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теорию числовых и функциональных рядов, решать задачи теории вероятностей, применять инструменты математической статистики при решении естественно-научных и математических задач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основные понятия и теоремы линейной и векторной алгебры, аналитической геометрии, теории линейных операторов, дифференциального исчисления функции одной переменной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ОПК(У)-1.1З2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базовые понятия и методы дифференциального исчисления функции нескольких переменных и интегрального исчисления функции одной переменной, основные понятия комплексных чисел, основные методы решения обыкновенных дифференциальных уравнений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ОПК(У)-1.1З3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Знает законы и методы теории вероятностей и математической статистики, числовых и </w:t>
            </w:r>
            <w:r>
              <w:rPr>
                <w:rFonts w:eastAsia="Times New Roman"/>
                <w:sz w:val="20"/>
              </w:rPr>
              <w:lastRenderedPageBreak/>
              <w:t>функциональных рядов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1.2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понимание химических процессов и применяет основные законы химии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ОПК(У)-1.2В1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методами теоретического и экспериментального исследования химических процессов и явлений, анализа и обработки экспериментальных данных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ОПК(У)-1.2У1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проводить количественные расчеты и выявлять закономерности протекания химических процессов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ОПК(У)-1.2З1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основные понятия и законы химии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1.3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понимание закономерностей протекания химических реакций и реакционной способности неорганических и некоторых органических веществ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ОПК(У)-1.3В1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опытом планирования и проведения экспериментальных исследований для изучения свойств неорганических соединений, анализа и обобщения экспериментальных данных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ОПК(У)-1.3У1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выявлять закономерности протекания химических реакций между веществами неорганической и органической природы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ОПК(У)-1.3З1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основные законы электрохимических процессов, способы получения и химические свойства неорганических и некоторых органических соединений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1.4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Демонстрирует понимание физических явлений и применяет законы физики </w:t>
            </w:r>
            <w:r>
              <w:rPr>
                <w:sz w:val="20"/>
              </w:rPr>
              <w:lastRenderedPageBreak/>
              <w:t>в инженерной деятельности на эмпирическом и теоретическом уровне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lastRenderedPageBreak/>
              <w:t>ОПК(У)-1.4В1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Владеет опытом планирования и проведения физических исследований в области физики  </w:t>
            </w:r>
            <w:r>
              <w:rPr>
                <w:rFonts w:eastAsia="Times New Roman"/>
                <w:sz w:val="20"/>
              </w:rPr>
              <w:lastRenderedPageBreak/>
              <w:t>адекватными экспериментальными методами,  оценки точности и погрешности измерений, анализа полученных результатов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ОПК(У)-1.4У1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выбирать закономерность для решения задач физики, исходя из анализа условия, объяснять на уровне гипотез отклонения полученных экспериментальных данных от известных теоретических и экспериментальных зависимостей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ОПК(У)-1.4З1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фундаментальные законы физики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1.5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знание основных правил по разработке текстовой, и графической документации в соответствии с нормативными требованиями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ОПК(У)-1.5В1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основными методами построения пространственных кривых для изображения линий пересечения поверхностей второго и четвертого порядка.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ОПК(У)-1.5В2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основными методами решения инженерно-геометрических задач графическими способами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ОПК(У)-1.5У1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решать позиционные и метрические задачи различными способами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ОПК(У)-1.5У2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определять кратчайшее расстояние между объектами в декартовой системе координат и отображать на плоскости фигуры трехмерного пространства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ОПК(У)-1.5З1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Знает теоретические основы и закономерности построения и </w:t>
            </w:r>
            <w:r>
              <w:rPr>
                <w:rFonts w:eastAsia="Times New Roman"/>
                <w:sz w:val="20"/>
              </w:rPr>
              <w:lastRenderedPageBreak/>
              <w:t>чтения чертежей геометрических объектов методы построения на плоскости пространственных форм и объектов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ОПК(У)-1.5З2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методы построения на плоскости пространственных форм и объектов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1.6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готовность к разработке чертежно-технической документации, оформлению законченных проектно-конструкторских работ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ОПК(У)-1.6В1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самостоятельного снятия эскизов и выполнения чертежей; навыками оформления графических и текстовых конструкторских документов.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ОПК(У)-1.6В2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приемами проектирования в графическом пакете компьютерной графики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ОПК(У)-1.6У1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действующие стандарты ЕСКД, положения и инструкции по оформлению технической документации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ОПК(У)-1.6У2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осуществлять конструкторские работы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ОПК(У)-1.6З1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основные понятия в области инженерного проектирования, основные положения ЕСКД и ЕСТД, стадии разработки конструкторской и технологической документации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1.7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Решает теоретические задачи, используя основные законы термогазодинамики, и гидромеханики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ОПК(У)-1.7В1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методами теоретического и экспериментального исследования в гидрогазодинамике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</w:t>
            </w:r>
            <w:r>
              <w:rPr>
                <w:rFonts w:eastAsia="Times New Roman"/>
                <w:sz w:val="20"/>
              </w:rPr>
              <w:lastRenderedPageBreak/>
              <w:t>1.7У1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lastRenderedPageBreak/>
              <w:t xml:space="preserve">умеет решать теоретические </w:t>
            </w:r>
            <w:r>
              <w:rPr>
                <w:rFonts w:eastAsia="Times New Roman"/>
                <w:sz w:val="20"/>
              </w:rPr>
              <w:lastRenderedPageBreak/>
              <w:t>задачи, используя основные законы термогазодинамики, и гидромеханики; проводить гидромеханические расчеты аппаратов и процессов в техносфере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ОПК(У)-1.7З1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основные законы термодинамики, и гидромеханики, принципы построения и функционирования гидравлических систем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1.8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знание основ теоретической механики, теории механизмов и машин, сопротивления материалов, деталей машин и основ конструирования и применяет их при решении практических задач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ОПК(У)-1.8В1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опытом теоретического и экспериментального исследования в механике, использования методов теоретической механики, теории механизмов и машин, сопротивления материалов, деталей машин и основ конструирования при решении практических задач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ОПК(У)-1.8В2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графического представления расчетных схем конструкций, кинематических схем механизмов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ОПК(У)-1.8У1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методы анализа и синтеза исполнительных механизмов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ОПК(У)-1.8У2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методы прочностного расчета и конструирования деталей и узлов механизмов.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ОПК(У)-1.8З1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Знает основные виды механизмов, методы исследования и расчета их </w:t>
            </w:r>
            <w:r>
              <w:rPr>
                <w:rFonts w:eastAsia="Times New Roman"/>
                <w:sz w:val="20"/>
              </w:rPr>
              <w:lastRenderedPageBreak/>
              <w:t>кинематических и динамических характеристик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ОПК(У)-1.8З2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методы расчета на прочность и жесткость типовых элементов различных конструкций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1.9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Решает теоретические задачи, используя основные законы электротехники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ОПК(У)-1.9В1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методами теоретического и экспериментального исследования в электротехнике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ОПК(У)-1.9У1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принципы построения, анализа и эксплуатации электрических сетей, электрооборудования и электронных приборов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ОПК(У)-1.9З1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основные законы электротехники, принципы построения и функционирования электрических машин, цепей и электронных схем.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1.10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навыки использования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ОПК(У)-1.10В1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опытом применения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ОПК(У)-1.10У1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выбирать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ОПК(У)-1.10З1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Знает современные информационные технологии и </w:t>
            </w:r>
            <w:r>
              <w:rPr>
                <w:rFonts w:eastAsia="Times New Roman"/>
                <w:sz w:val="20"/>
              </w:rPr>
              <w:lastRenderedPageBreak/>
              <w:t>программные средства, в том числе отечественного производства, при решении задач профессиональной деятельности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1.11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способность разрабатывать алгоритмы и программы, пригодные для практического применения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ОПК(У)-1.11В1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программирования, отладки и тестирования прототипов программно-технических комплексов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ОПК(У)-1.11У1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компьютерную технику и информационно-коммуникационные технологии для поиска информации и решении задач в своей учебной и профессиональной деятельности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ОПК(У)-1.11З1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основные классы программного обеспечения и средств информационных технологий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1.12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Способен производить поиск и анализ информации из литературных источников в области техносферной безопасности, структурировать данные и представлять информацию в виде логически построенного доклада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ОПК(У)-1.12В1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ведения дискуссии в профессиональной деятельности.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ОПК(У)-1.12У1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осуществлять выбор стратегии регулирования конфликтной ситуации в профессиональном взаимодействии.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ОПК(У)-1.12З1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этикетные нормы и протоколы официальных мероприятий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1.13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Применяет современные методы для разработки малоотходных, энергосберегающих и экологически чистых </w:t>
            </w:r>
            <w:r>
              <w:rPr>
                <w:sz w:val="20"/>
              </w:rPr>
              <w:lastRenderedPageBreak/>
              <w:t>машиностроительных технологий, обеспечивающих безопасность жизнедеятельности людей и их защиту от возможных последствий аварий, катастроф и стихийных бедствий; умением применять способы рационального использования сырьевых, энергетических и других видов ресурсов в машиностроении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lastRenderedPageBreak/>
              <w:t>ОПК(У)-1.13В1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Владеет методами проведения испытаний по определению структуры, физико-механических и эксплуатационных свойств </w:t>
            </w:r>
            <w:r>
              <w:rPr>
                <w:rFonts w:eastAsia="Times New Roman"/>
                <w:sz w:val="20"/>
              </w:rPr>
              <w:lastRenderedPageBreak/>
              <w:t>используемых материалов и готовых изделий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ОПК(У)-1.13У1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анализировать фазовые превращения, при нагревании и охлаждении металлов, проводить металлографический анализ и определять свойства сталей, чугунов, цветных металлов и сплавов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ОПК(У)-1.13З1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основные группы и классы современных материалов, их свойства и области применения, принципы выбора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1.14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Способен ориентироваться в основных нормативно-правовых актах в области метрологии, стандартизации и сертификации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ОПК(У)-1.14В1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применения нормативных документов по метрологии, стандартизации и сертификации; методами определения точности измерений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ОПК(У)-1.14У1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проводить измерения и обрабатывать результаты; разрабатывать нормативную документацию по сертификации; учитывать нормативно-правовые требования в области метрологии, стандартизации и сертификации; применять действующие стандарты, положения и инструкции по оформлению технической документации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ОПК(У)-1.14З1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Знает основы метрологии; принципов построения и правил использования стандартов, комплексов </w:t>
            </w:r>
            <w:r>
              <w:rPr>
                <w:rFonts w:eastAsia="Times New Roman"/>
                <w:sz w:val="20"/>
              </w:rPr>
              <w:lastRenderedPageBreak/>
              <w:t>стандартов, документации по сертификации; нормативно-правовых основ по стандартизации и сертификации, общей теории измерений и взаимозаменяемости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1.15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знания опасных факторов пожара на предприятии и может выявлять взрывоопасные концентрации веществ и материалов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ОПК(У)-1.15В1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методами определения пожаровзрывоопасных свойств неорганических и органических веществ, расчёта материального и теплового баланса процесса горения, расчёта энергии и мощности взрыва.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ОПК(У)-1.15У1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физические и химические законы для анализа и решения практических задач; использовать справочную литературу для выполнения расчетов, прогнозировать условия образования горючих и взрывоопасных систем и разрушающее действие взрыва, определять термодинамические параметры горения и взрыва, оценивать возможности перехода горения во взрыв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ОПК(У)-1.15З1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физико-химических основы процессов горения и взрыва, условий образования горючих и взрывоопасных систем, особенностей горения веществ в разных агрегатных состояниях, развития и распространения процессов горения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1.16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Демонстрирует знания современных тенденций </w:t>
            </w:r>
            <w:r>
              <w:rPr>
                <w:sz w:val="20"/>
              </w:rPr>
              <w:lastRenderedPageBreak/>
              <w:t>развития техники и технологий в области техносферной безопасности с использованием английского языка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lastRenderedPageBreak/>
              <w:t>ОПК(У)-1.16В1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Владеет терминологией с использованием иностранного </w:t>
            </w:r>
            <w:r>
              <w:rPr>
                <w:rFonts w:eastAsia="Times New Roman"/>
                <w:sz w:val="20"/>
              </w:rPr>
              <w:lastRenderedPageBreak/>
              <w:t>языка в области техносферной безопасности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ОПК(У)-1.16У1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грамотно писать, читать и объясняться профессиональными терминами в области техносферной безопасности с использованием иностранного языка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ОПК(У)-1.16З1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лексику, грамматику и терминологию профессиональной сферы на иностранном языке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1.17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знание в области систем искусственного интеллекта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ОПК(У)-1.17В1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построением моделей представления знаний, подходами и техникой решения задач искусственного интеллекта, информационных моделей знаний, методами представления знаний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ОПК(У)-1.17У1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различные модели представления знаний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ОПК(У)-1.17З1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теоретические основы построения и функционирования прикладных интеллектуальных систем и систем поддержки принятия решений, ключевые направления применения новых информационных систем при автоматизации процессов принятия управленческих решений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</w:t>
            </w:r>
          </w:p>
        </w:tc>
        <w:tc>
          <w:tcPr>
            <w:tcW w:w="228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Способен обеспечивать безопасность человека и сохранение окружающей среды, основываясь на </w:t>
            </w:r>
            <w:r>
              <w:rPr>
                <w:rFonts w:eastAsia="Times New Roman"/>
                <w:sz w:val="20"/>
              </w:rPr>
              <w:lastRenderedPageBreak/>
              <w:t>принципах культуры безопасности и концепции риск-ориентированного мышления</w:t>
            </w: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lastRenderedPageBreak/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2.1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знания источников и последствий загрязнения биосферы; принципов рационального природопользования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ОПК(У)-2.1В1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Владеет методами защиты природной среды для выбора, разработки и эксплуатации средств защиты, расчета социально-экономической </w:t>
            </w:r>
            <w:r>
              <w:rPr>
                <w:rFonts w:eastAsia="Times New Roman"/>
                <w:sz w:val="20"/>
              </w:rPr>
              <w:lastRenderedPageBreak/>
              <w:t>эффективности защитных мероприятий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ОПК(У)-2.1У1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использовать законодательную и нормативно-техническую документацию, регулирующую охрану природной среды; методы теоретического и экспериментального исследования в экологии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ОПК(У)-2.1З1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механизмы воздействия техносферы на компоненты биосферы, основы планирования и организации работ по созданию систем экологического менеджмента региона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2.2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знания в области безопасного проведения аварийно-спасательных работ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ОПК(У)-2.2В1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ведения аварийно-спасательных работ с применением гидравлического, электрического и пневматического аварийно-спасательного инструмента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ОПК(У)-2.2У1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организовывать планирование аварийно-спасательных работ и вести практические работы по поиску пострадавших с применением различных средств поиска и спасения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ОПК(У)-2.2З1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особенности проведения аварийно- спасательных работ при различных чрезвычайных ситуациях природного и техногенного характера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2.3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Организует работы по подготовке отчетной документации в области </w:t>
            </w:r>
            <w:r>
              <w:rPr>
                <w:sz w:val="20"/>
              </w:rPr>
              <w:lastRenderedPageBreak/>
              <w:t>экологии промышленного предприятия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lastRenderedPageBreak/>
              <w:t>ОПК(У)-2.3В1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Владеет методами подготовки отчетной статистической документации по охране </w:t>
            </w:r>
            <w:r>
              <w:rPr>
                <w:rFonts w:eastAsia="Times New Roman"/>
                <w:sz w:val="20"/>
              </w:rPr>
              <w:lastRenderedPageBreak/>
              <w:t>окружающей среды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ОПК(У)-2.3У1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решать экологические проблемы в своей профессиональной деятельности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ОПК(У)-2.3З1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комплекс работ по охране окружающей среды на предприятии, порядок взаимодействия с надзорными органами в области экологической безопасности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2.4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Способен ориентироваться в основных методах и системах обеспечения техносферной безопасности, обоснованно выбирать известные устройства, системы и методы защиты человека и окружающей среды от опасностей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ОПК(У)-2.4В1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методами повышения надежности систем путем различных способов резервирования, основными понятиями и характеристиками инженерных рисков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ОПК(У)-2.4В2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работы с системами безопасности и приборами контроля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ОПК(У)-2.4У1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производить расчет надежности сложной технической системы, предварительную оценку техногенных рисков и строить на ее основе дерево рисков, оценивать «слабые звенья» системы на основе анализа дерева рисков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ОПК(У)-2.4У2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Умеет применять средства защиты от отрицательных воздействий; разрабатывать мероприятия по повышению безопасности производственной 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ОПК(У)-2.4З1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основные методы расчета надежности сложных систем монотонной структуры, методы повышения надежности систем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ОПК(У)-2.4З2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особенности обеспечения безопасности на опасных производственных объектах и современные средства защиты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2.5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знания источников опасностей био- и техносферы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ОПК(У)-2.5В1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терминологией науки об опасностях, методами описания источников и зон влияния опасностей.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ОПК(У)-2.5У1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осуществлять в общем виде оценку антропогенного воздействия на окружающую среду.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ОПК(У)-2.5З1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источники и мир опасностей, их влияние на человека и природу, теорию защиты от опасностей, направления достижения техносферной безопасности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2.6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Применяет приборы и средства контроля выбросов производств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ОПК(У)-2.6В1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измерения уровней опасностей на производстве и в окружающей среде, используя современную измерительную технику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ОПК(У)-2.6У1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методы анализа взаимодействия человека и его деятельности со средой обитания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ОПК(У)-2.6З1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специфику и механизмы токсического действия вредных веществ, энергетического воздействия и комбинированного действия негативных факторов на человека и природную среду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ОПК(У)-3</w:t>
            </w:r>
          </w:p>
        </w:tc>
        <w:tc>
          <w:tcPr>
            <w:tcW w:w="228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осуществлять профессиональную деятельность с учетом государственных требований в области обеспечения безопасности</w:t>
            </w: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3.1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знания действующей системы нормативно-правовых актов в области техносферной безопасности; системы управления безопасностью в техносфере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ОПК(У)-3.1В1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методами оценки состояния безопасности на производстве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ОПК(У)-3.1У1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работать с электронными базами с нормативно-правовыми актами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ОПК(У)-3.1З1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действующую систему нормативно-правовых актов в области техносферной безопасности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3.2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Способен применять действующие нормативные правовые акты для решения задач обеспечения безопасности объектов защиты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ОПК(У)-3.2В1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методами оценки состояния безопасности на производстве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ОПК(У)-3.2У1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пользоваться законодательной и нормативной документацией по вопросам надзора и контроля в сфере безопасности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ОПК(У)-3.2З1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организацию надзора и контроля в сфере безопасности, органы государственного надзора, их права и обязанности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</w:t>
            </w:r>
          </w:p>
        </w:tc>
        <w:tc>
          <w:tcPr>
            <w:tcW w:w="228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деятельности.</w:t>
            </w: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4.1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знания сущности и значения информации в развитии современного информационного общества, опасностей и угроз, возникающих в этом процессе, основных требований информационной безопасности, понимание принципов работы современных информационных технологий  и использования их для решения задач профессиональной деятельности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ОПК(У)-4.1В1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опытом использования современных информационных технологий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ОПК(У)-4.1У1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современные информационные технологии для решения задач профессиональной деятельности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ОПК(У)-4.1З1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основные методы, способы и средства получения, хранения, переработки информации, ее значение в развитии общества, основные требования информационной безопасности.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ОПК(У)-4.1З2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принципы работы современных информационных технологий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4.2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Применяет современные информационные технологии и программное обеспечение при решении задач профессиональной деятельности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ОПК(У)-4.2В1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опытом использования программного обеспечения и средств разработки программ  при решении задач  в учебной и профессиональной деятельности.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ОПК(У)-4.2У1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компьютерную технику и информационно-коммуникационные технологии для поиска информации и решении задач в своей учебной и профессиональной деятельности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ОПК(У)-4.2З1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основные классы программного обеспечения и средств информационных технологий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4.3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знания системного анализа и моделирования процессов в техносфере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ОПК(У)-4.3В1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стратегиями представления результатов анализа и обработки информации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ОПК(У)-4.3У1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строить математические модели систем и обоснованно выбирать методы системного анализа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ОПК(У)-4.3З1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основные понятия и определения систем; структуру и общие свойства систем; методики анализа целей и функций систем управления; базовые математические методы, применяемые в системном анализе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4.4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знание основ проведения интеллектуального анализа данных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ОПК(У)-4.4В1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основными этапами проведения интеллектуального анализа данных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ОПК(У)-4.4У1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пользоваться современными программными инструментами для анализа данных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ОПК(У)-4.4З1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принципы и алгоритмы интеллектуального анализа данных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4.5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знание основ робототехники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ОПК(У)-4.5В1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написания программ для плат Arduino и Raspberry Pi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ОПК(У)-4.5У1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использовать платы Arduino и миникомпьютер Raspberry Pi для создания электронно-механических устройств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ОПК(У)-4.5З1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области применения роботов, решаемые роботами задачи и принципы построения робототехнических комплексов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</w:t>
            </w:r>
          </w:p>
        </w:tc>
        <w:tc>
          <w:tcPr>
            <w:tcW w:w="228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планировать и документально оформлять природоохранную деятельность организации и деятельность в сфере безопасности</w:t>
            </w: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1.1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умение планировать и документально оформлять мероприятия по эксплуатации средств и систем защиты окружающей среды в организации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ПК(У)-1.1В1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знаниями устройства, принципа действия и технических характеристик систем и средств защиты окружающей среды в организации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ПК(У)-1.1У1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разрабатывать инструкции по эксплуатации средств и систем защиты окружающей среды в организации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ПК(У)-1.1З1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нормативные правовые акты в области охраны окружающей среды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1.2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Способен вести документацию по нормированию воздействия производственной деятельности организации на окружающую среду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ПК(У)-1.2В1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знаниями определения размера санитарно-защитной зоны организации в соответствии с классификацией промышленных организаций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ПК(У)-1.2У1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определять нормативные уровни допустимого негативного воздействия на окружающую среду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ПК(У)-1.2З1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порядок нормирования и согласования уровней допустимого негативного воздействия на окружающую среду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1.3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Способен планировать и документально сопровождать деятельность по соблюдению или достижению нормативов допустимого воздействия на окружающую среду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ПК(У)-1.3В1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методами и средствами охраны окружающей среды и обеспечения экологической безопасности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ПК(У)-1.3У1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методическую документацию в области охраны окружающей среды для разработки программы производственного экологического контроля в организации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ПК(У)-1.3З1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требования нормативных правовых актов в области охраны окружающей среды и требования государственных стандартов к программе производственного экологического контроля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1.4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Осуществляет деятельность по организации и проведению различных видов контроля в области техносферной безопасности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ПК(У)-1.4В1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разработки планов-графиков производственного контроля в организации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ПК(У)-1.4У1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выявлять нормируемые параметры и характеристики при осуществлении производственного контроля в организации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ПК(У)-1.4З1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порядок проведения производственного экологического контроля в соответствии с требованиями нормативных правовых актов в области охраны окружающей среды и техносферной безопасности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ПК(У)-2</w:t>
            </w:r>
          </w:p>
        </w:tc>
        <w:tc>
          <w:tcPr>
            <w:tcW w:w="228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обеспечивать функционирование системы управления охраной труда в организации</w:t>
            </w: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2.1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Осуществляет нормативное обеспечение безопасных условий и охраны труда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ПК(У)-2.1В1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основами трудового законодательства РФ и законодательства РФ в области охраны труда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ПК(У)-2.1У1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пользоваться цифровыми платформами, справочными правовыми системами, базами данных в области охраны труда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ПК(У)-2.1З1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правила, процедуры, критерии и нормативы, установленные государственными нормативными требованиями охраны труда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2.2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Способен организовать подготовку работников в области охраны труда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ПК(У)-2.2В1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методами оценки состояния безопасности на производстве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ПК(У)-2.2У1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пользоваться нормативными правовыми актами при осуществлении надзора и контроля в сфере безопасности, правильно оценить соответствие или несоответствие фактического состояния безопасности на рабочем месте или в организации нормативным требованиям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ПК(У)-2.2З1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требования к порядку обучения по охране труда и проверке знаний требований охраны труда, приемов оказания первой помощи пострадавшим, установленные нормативными правовыми актами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2.3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Содействует обеспечению функционирования системы управления охраной труда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ПК(У)-2.3В1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принципами управления охраной труда на предприятии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ПК(У)-2.3У1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пользоваться законодательной и нормативной документацией по вопросам управления техносферной безопасностью, производить инструментальную оценку уровней вредных и опасных факторов производственной среды и среды обитания, степень напряженности и тяжести труда (деятельности); производить оценку и анализ рисков технологических процессов и производств, а также других видов деятельности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ПК(У)-2.3З1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основы организации управления охраной труда и безопасностью труда на предприятиях, в учреждениях и муниципальных образованиях; принципов управления, функций управления, задач управления и механизмов их решения в системе управления охраной труда в техносфере; методов организации информационных потоков в области управления безопасностью труда в техносфере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ПК(У)-3</w:t>
            </w:r>
          </w:p>
        </w:tc>
        <w:tc>
          <w:tcPr>
            <w:tcW w:w="228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выполнять работы по профилактике несчастных случаев на предприятиях, по оказанию первой помощи пострадавшим при ЧС на акваториях, а также в местах массового пребывания людей</w:t>
            </w: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3.1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Оказывает пострадавшему первую помощь и транспортировку, руководит действиями по спасению при ЧС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ПК(У)-3.1В1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практическими навыками решения организационных и управленческих вопросов при организации оказания первой (медицинской) помощи в нестандартных ситуациях и чрезвычайных условиях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ПК(У)-3.1У1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определять основные поражения в ЧС; оказывать первую помощь пораженным в ЧС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ПК(У)-3.1З1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характеристики и механизмы негативного воздействия на человека основных поражающих факторов источников ЧС; способов поражений организма человека в ЧС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ПК(У)-4</w:t>
            </w:r>
          </w:p>
        </w:tc>
        <w:tc>
          <w:tcPr>
            <w:tcW w:w="228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выполнять первичные действия по локализации и ликвидации последствий аварий на ОПО и оказание первой помощи пострадавшим</w:t>
            </w: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4.1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Оказывает первую помощь пострадавшим при авариях и катастрофах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ПК(У)-4.1В1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алгоритмами оказания первой помощи пострадавшим в различных видах ЧС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ПК(У)-4.1У1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Обеспечивать и поддерживать постоянную готовность аварийно-спасательных формирований к оказанию первой (медицинской) помощи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ПК(У)-4.1З1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Требования нормативных и правовых актов РФ по организации и функционированию медицинской службы Гражданской обороны (МС ГО) и Всероссийской службы медицины катастроф (ВСМК) в ЧС мирного и военного времени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ПК(У)-5</w:t>
            </w:r>
          </w:p>
        </w:tc>
        <w:tc>
          <w:tcPr>
            <w:tcW w:w="228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осуществлять тушение пожаров и проведение аварийно-спасательных работ при пожарах в населенных пунктах и на объектах в составе отделения дежурного караула пожарной части на основной пожарной технике</w:t>
            </w: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5.1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Руководит деятельностью отделения пожарной части при тушении пожара и проведении аварийно-спасательных работ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ПК(У)-5.1В1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Навыками работы на аппаратах и средствах защиты; простыми способами, определяющими функциональное состояние человека (физическое и психическое); навыками оказания первой медицинской помощи пострадавшим в конкретных условиях производства, иных видов среды обитания; навыками оценки тяжести воздействия ОПФ и ВПФ на организм человека.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ПК(У)-5.1У1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Руководить действиями по оказанию первой помощи пострадавшему в соответствии с универсальной схемой оказания первой помощи до оказания медицинской помощи на месте происшествия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ПК(У)-5.1З1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Медико-биологические показатели основных физиологических систем организма человека; правил оказания первой медицинской помощи пострадавшим от воздействия ОПФ и ВПФ и их правовых аспектов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</w:t>
            </w:r>
          </w:p>
        </w:tc>
        <w:tc>
          <w:tcPr>
            <w:tcW w:w="228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разрабатывать и контролировать выполнение мероприятий по противопожарной защите объекта</w:t>
            </w: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6.1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Анализирует и контролирует наличие системы обеспечения пожарной безопасности объекта защиты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ПК(У)-6.1В1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принципами поиска нормативно-технической документации в области охраны труда и пожарной безопасности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ПК(У)-6.1В2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работы с системами безопасности и приборами контроля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ПК(У)-6.1У1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планировать организационно-технические мероприятия по устранению причин возгорания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ПК(У)-6.1У2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средства защиты от отрицательных воздействий; разрабатывать мероприятия по повышению безопасности производственной деятельности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ПК(У)-6.1З1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требования пожарной безопасности с учетом специфики объекта защиты, опасные факторы пожара и средства пожаротушения, используемые на объекте защиты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ПК(У)-6.1З2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требования пожарной безопасности с учетом специфики объекта защиты, методы оценки и расчета параметров возможных пожаров и рисков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6.2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Разрабатывает и организует на объекте защиты систему обеспечения пожарной безопасности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ПК(У)-6.2В1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организации и руководства процессом пожарной безопасности технологических процессов на производстве, контроля соблюдения пожарной безопасности на производстве.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ПК(У)-6.2У1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проводить анализ пожарной опасности технологических процессов; проводить расчеты по определению категорий помещений и зданий по взрывопожарной и пожарной опасности;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ПК(У)-6.2З1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основы пожаро-взрывоопасных производств, анализа пожарной безопасности технологического оборудования действующего производства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6.3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Обеспечивает исследование проектной документации в части, касающейся соблюдения требований пожарной безопасности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ПК(У)-6.3В1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описания и обоснования принятых конструктивных и объемно-планировочных решений, степеней огнестойкости и классов конструктивной пожарной опасности строительных конструкций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ПК(У)-6.3У1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обосновывать противопожарные расстояния между зданиями, сооружениями и наружными установками, обеспечивающие пожарную безопасность объектов капитального строительства, сведения о категории зданий, сооружений, помещений, оборудования и наружных установок по признаку взрывопожарной и пожарной опасности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ПК(У)-6.3З1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требования Технического регламента о пожарной безопасности зданий и сооружений; методы обеспечения требуемого уровня огнестойкости, методы огнезащиты и материалы, применяемые для огнезащиты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ПК(У)-7</w:t>
            </w:r>
          </w:p>
        </w:tc>
        <w:tc>
          <w:tcPr>
            <w:tcW w:w="228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обеспечивать противопожарный режим на объекте защиты</w:t>
            </w: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7.1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Организует пожарно-профилактическую работу на объекте защиты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ПК(У)-7.1В1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разработки мер по обеспечению безопасности технологического оборудования, по производственной и противоаварийной автоматике, автоматической пожарной защиты, нормативными документы, регламентирующими разработку, производство, применение, проектирование и эксплуатацию систем безопасности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ПК(У)-7.1У1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организовывать и руководить установкой, использованием и обслуживанием производственной противоаварийной автоматикой на предприятиях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ПК(У)-7.1З1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основные понятия теории автоматического регулирования, принципы работы и правила установки автоматических системы противоаварийной защиты, основные функции и характеристики противоаварийных средств защиты, приемно-контрольных приборов систем безопасности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ПК(У)-8</w:t>
            </w:r>
          </w:p>
        </w:tc>
        <w:tc>
          <w:tcPr>
            <w:tcW w:w="228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выполнять мероприятия по гражданской обороне и защите от чрезвычайных ситуаций в организации</w:t>
            </w: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8.1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Обеспечивает планирование мероприятий по гражданской обороне и действий по предупреждению и ликвидации чрезвычайных ситуаций в организации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ПК(У)-8.1В1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методикой прогнозирования и оценки обстановки, определения основных направлений и мероприятий по повышению системы жизнеобеспечения при воздействии на них природных стихийных явлений; информацией о перспективных отечественных и зарубежных научных исследованиях по прогнозированию и предупреждению возможных природных стихийных явлений.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ПК(У)-8.1У1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планировать и организовывать эффективную защиту от стихийных бедствий в конкретных условиях, поддерживать связь с местными органами власти, различными учреждениями и средствами массовой информации для проведения организационной и разъяснительной работы по обеспечению защиты от неблагоприятных и опасных природных явлений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ПК(У)-8.1З1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опасности, связанные с опасными природными явлениями; методы и средства прогноза и оценки опасных природных явлений; методы и средства защиты человека, объектов экономики и среды обитания от опасных природных процессов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8.2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Организует оповещение работников предприятия при угрозе возникновения и возникновении военных конфликтов и чрезвычайных ситуаций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ПК(У)-8.2В1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организации устойчивой связи для оперативного управления в условиях ЧС, разрабатывать рабочие документы по организации связи и оповещения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ПК(У)-8.2У1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оценивать основные тактико-технические возможности систем связи и оповещения; организовывать своевременную и устойчивую связь в звеньях управления РСЧС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ПК(У)-8.2З1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организацию связи и оповещения в РСЧС, назначение связи в органах управления МЧС; основные понятия и определения связи; принципы построения систем связи и оповещения. Состав, назначение и основные тактико-технические данные средств связи и оповещения; Принципы организации связи и оповещения в РСЧС, управлениях по делам ГОЧС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8.3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Планирует мероприятия по гражданской обороне и действия по предупреждению и ликвидации чрезвычайных ситуаций в организации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ПК(У)-8.3В1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навыком разработки плановых документов по подготовке и ведению гражданской обороны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ПК(У)-8.3У1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действующие нормативные правовые акты для решения задач обеспечения безопасности объектов защиты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ПК(У)-8.3З1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плановые правовые документы по подготовке и ведению гражданской обороны субъекта РФ и муниципального образования обороны в организации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8.4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Создает запасы материально-технических средств в целях гражданской обороны и резервы финансовых и материальных ресурсов для ликвидации чрезвычайных ситуаций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ПК(У)-8.4В1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разработки документов, регламентирующих материально- техническое обеспечение сил РСЧС и ГО в условиях чрезвычайных ситуаций;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ПК(У)-8.4У1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определять и обосновывать на основе анализа рисков аварий и чрезвычайных ситуаций и масштабов их развития номенклатуру и объемы запасов материально-технических средств в целях гражданской обороны исходя их принципов необходимой достаточности;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ПК(У)-8.4З1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нормативно-правовые акты о порядке определения номенклатуры и объемов запасов материально-технических средств в целях гражданской обороны и резервов финансовых и материальных ресурсов для ликвидации чрезвычайных ситуаций, о порядке накопления, хранения и использования в целях гражданской обороны запасов материально-технических, продовольственных, медицинских и иных средств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8.5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Проводит оценку риска и прогнозирование возникновения природных и техногенных ЧС и их последствия для производственных объектов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ПК(У)-8.5В1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анализом прогнозируемых видов  и масштабов аварий и чрезвычайных ситуаций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ПК(У)-8.5У1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проводить оценку рисков возникновения аварий и чрезвычайных ситуаций и прогнозирует масштабы их развития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ПК(У)-8.5З1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методики оценки рисков возникновения аварий и чрезвычайных ситуаций и прогнозирование масштабов их развития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ПК(У)-9</w:t>
            </w:r>
          </w:p>
        </w:tc>
        <w:tc>
          <w:tcPr>
            <w:tcW w:w="228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разрабатывать решения по гражданской обороне и защите от чрезвычайных ситуаций в организации</w:t>
            </w: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9.1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Разрабатывает и проводит комплекс организационно-технических мероприятий по защите работников и материальных ценностей организации от опасностей, возникающих при военных конфликтах или вследствие этих конфликтов и чрезвычайных ситуаций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ПК(У)-9.1В1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работы с законодательными документами и подзаконными нормативными правовыми актами в области промышленной безопасности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ПК(У)-9.1У1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идентифицировать опасные производственные объекты с целью обязательного страхования гражданской ответственности за причинение вреда при их эксплуатации, разрабатывать паспорта безопасности  опасных объектов, эксплуатируемых организацией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ПК(У)-9.1З1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принципы лицензирования, сертификации проведения экспертизы объектов, основы порядка проведения технического расследования причин аварий; порядок осуществления регистрации, лицензирования и производственного контроля за соблюдением требований промышленной безопасности на ОПО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9.2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Обеспечивает повышение устойчивости функционирования эксплуатируемых объектов организации от опасностей, возникающих при военных конфликтах или вследствие этих конфликтов и чрезвычайных ситуаций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ПК(У)-9.2В1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разработки ежегодных и перспективных плановых документов по повышению устойчивости функционирования объектов организации в условиях опасностей, возникающих при военных конфликтах или вследствие этих конфликтов и чрезвычайных ситуаций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ПК(У)-9.2У1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разрабатывать плановые документы по вопросам повышения устойчивости функционирования объектов организации, по наращиванию мероприятий по повышению устойчивости функционирования организации, анализировать результаты проведения исследований устойчивости функционирования объектов организации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ПК(У)-9.2З1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основные мероприятия гражданской обороны, направленные на повышение устойчивости функционирования объектов организации, методы, способы и средства обеспечения устойчивости энергоснабжения объектов организации, методологию проведения исследований устойчивости функционирования технологического оборудования, объектов и производственного процесса организации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9.3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Организует создание, подготовку и поддержание в готовности органов управления гражданской обороной и РСЧС на объектовом уровне организации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ПК(У)-9.3В1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управления силам и средствами РСЧС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ПК(У)-9.3У1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разрабатывать локальные нормативные акты о постоянно действующем органе управления РСЧС на объектовом уровне организации, координировать работу органов управления в различных режимах функционирования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ПК(У)-9.3З1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порядок организации и функционирования РСЧС, режимы функционирования органов управления и сил РСЧС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9.4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Организует создание, подготовку и поддержание в готовности к действиям по назначению сил гражданской обороны и специально подготовленных сил организации, предназначенных и привлекаемых для предупреждения и ликвидации ЧС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ПК(У)-9.4В1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организационными навыками по защите сил РСЧС и ГО, населения и территорий в вопросах пожарной, радиационной, химической защиты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ПК(У)-9.4У1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разрабатывать локальные нормативные акты о спасательных службах гражданской обороны, внештатных аварийно-спасательных формированиях и внештатных формированиях по обеспечению выполнения мероприятий по гражданской обороне организации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ПК(У)-9.4З1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объем и характер задач, выполняемых организацией в соответствии с плановыми документами по ведению гражданской обороны, нормативные правовые акты о порядке организации и функционирования сил РСЧС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ПК(У)-10</w:t>
            </w:r>
          </w:p>
        </w:tc>
        <w:tc>
          <w:tcPr>
            <w:tcW w:w="228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обеспечить готовность аварийно-спасательных средств и техники для выполнения аварийно-спасательных работ</w:t>
            </w: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10.1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организовывает и проводит техническое обслуживание, ремонт, консервацию и хранение техники и средств защиты, контролирует состояние используемых средств защиты, принимает решения по замене (регенерации) средства защиты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ПК(У)-10.1В1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работы на различных образцах спасательной техники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ПК(У)-10.1У1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организовывать эксплуатацию, обслуживание спасательной техники и базовых машин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ПК(У)-10.1З1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назначение, технические характеристики и устройства основных образцов спасательной техники и базовых машин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ПК(У)-11</w:t>
            </w:r>
          </w:p>
        </w:tc>
        <w:tc>
          <w:tcPr>
            <w:tcW w:w="228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организовывать и выполнять действия по локализации и ликвидации последствий химических и радиационных аварий на ОПО</w:t>
            </w: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11.1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знания проведения работ по локализации и ликвидации последствий радиационной и химической аварии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ПК(У)-11.1В1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анализа информации и синтеза полученных данных для разработки решения руководителя работ по ликвидации последствий радиационного загрязнения, и химического заражения.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ПК(У)-11.1У1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методики по прогнозированию и оценке радиационной и химической обстановки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ПК(У)-11.1З1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содержание мероприятий радиационной, и химической защиты систему своевременного обнаружения. Источники радиоактивного облучения, химической и биологической опасности персонала и населения, основы применения средств выявления радиационной и, химической обстановки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ПК(У)-12</w:t>
            </w:r>
          </w:p>
        </w:tc>
        <w:tc>
          <w:tcPr>
            <w:tcW w:w="228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руководить органами управления гражданской обороны РСЧС на объектовом уровне организации</w:t>
            </w: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12.1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Организует проведение анализа состояния гражданской обороны, действий по предупреждению и ликвидации чрезвычайных ситуаций, эффективности и достаточности принимаемых мер, направленных на защиту работников в организации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ПК(У)-12.1В1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ведения аварийно- спасательных работ с применением гидравлического, электрического и пневматического аварийно- спасательного инструмента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ПК(У)-12.1У1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оценивать действия сил гражданской обороны и специально подготовленных сил организации, предназначенных и привлекаемых для предупреждения и ликвидации чрезвычайных ситуаций при проведении аварийно-спасательных и других неотложных работ в условиях чрезвычайной ситуации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ПК(У)-12.1З1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особенности проведения аварийно-спасательных работ при различных чрезвычайных ситуациях природного и техногенного характера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ПК(У)-13</w:t>
            </w:r>
          </w:p>
        </w:tc>
        <w:tc>
          <w:tcPr>
            <w:tcW w:w="2283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осуществлять проведение аварийно-спасательных работ в населенных пунктах и на объектах при авариях и ЧС</w:t>
            </w:r>
          </w:p>
        </w:tc>
        <w:tc>
          <w:tcPr>
            <w:tcW w:w="1276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13.1</w:t>
            </w:r>
          </w:p>
        </w:tc>
        <w:tc>
          <w:tcPr>
            <w:tcW w:w="2551" w:type="dxa"/>
            <w:vMerge w:val="restart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Организует действия по тушению пожара и проведению аварийно-спасательных работ при ЧС природного и техногенного характера</w:t>
            </w: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ПК(У)-13.1В1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принципами и методами подготовки и выполнения предупредительных, аварийно-спасательных и восстановительных работ применительно к природным ЧС разной тяжести на уровне области, района, города, предприятия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ПК(У)-13.1У1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организовать оценку природного риска, выбор оптимального комплекса мер защиты, выполнение аварийно- восстановительных работ при ЧС природного происхождения на уровне от области до предприятия; планировать и организовывать эффективную защиту от стихийных бедствий в конкретных условиях</w:t>
            </w:r>
          </w:p>
        </w:tc>
      </w:tr>
      <w:tr w:rsidR="0097259F">
        <w:trPr>
          <w:trHeight w:val="347"/>
        </w:trPr>
        <w:tc>
          <w:tcPr>
            <w:tcW w:w="205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ПК(У)-13.1З1</w:t>
            </w:r>
          </w:p>
        </w:tc>
        <w:tc>
          <w:tcPr>
            <w:tcW w:w="2976" w:type="dxa"/>
            <w:vAlign w:val="center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порядок и правила проведения всех этапов боевого развертывания сил и средств, технологию проведения аварийно-спасательных работ</w:t>
            </w:r>
          </w:p>
        </w:tc>
      </w:tr>
    </w:tbl>
    <w:p w:rsidR="0097259F" w:rsidRDefault="00011DBE">
      <w:pPr>
        <w:pStyle w:val="1"/>
      </w:pPr>
      <w:r>
        <w:t>Планируемые результаты обучения и методы оценивания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5198"/>
        <w:gridCol w:w="2277"/>
        <w:gridCol w:w="2809"/>
        <w:gridCol w:w="3369"/>
      </w:tblGrid>
      <w:tr w:rsidR="0097259F">
        <w:tc>
          <w:tcPr>
            <w:tcW w:w="6145" w:type="dxa"/>
            <w:gridSpan w:val="2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2277" w:type="dxa"/>
            <w:vMerge w:val="restart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>Код индикатора достижения контролируемой компетенции (или ее части)</w:t>
            </w:r>
          </w:p>
        </w:tc>
        <w:tc>
          <w:tcPr>
            <w:tcW w:w="2809" w:type="dxa"/>
            <w:vMerge w:val="restart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 xml:space="preserve">Наименование </w:t>
            </w:r>
          </w:p>
          <w:p w:rsidR="0097259F" w:rsidRDefault="00011DBE">
            <w:pPr>
              <w:pStyle w:val="aff7"/>
            </w:pPr>
            <w:r>
              <w:t>разделов (этапов) практики</w:t>
            </w:r>
          </w:p>
        </w:tc>
        <w:tc>
          <w:tcPr>
            <w:tcW w:w="3369" w:type="dxa"/>
            <w:vMerge w:val="restart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>Методы оценивания</w:t>
            </w:r>
          </w:p>
          <w:p w:rsidR="0097259F" w:rsidRDefault="00011DBE">
            <w:pPr>
              <w:pStyle w:val="aff7"/>
            </w:pPr>
            <w:r>
              <w:t>(оценочные мероприятия)</w:t>
            </w:r>
          </w:p>
        </w:tc>
      </w:tr>
      <w:tr w:rsidR="0097259F">
        <w:tc>
          <w:tcPr>
            <w:tcW w:w="947" w:type="dxa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>Код</w:t>
            </w:r>
          </w:p>
        </w:tc>
        <w:tc>
          <w:tcPr>
            <w:tcW w:w="5198" w:type="dxa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>Наименование</w:t>
            </w:r>
          </w:p>
        </w:tc>
        <w:tc>
          <w:tcPr>
            <w:tcW w:w="2277" w:type="dxa"/>
            <w:vMerge/>
            <w:shd w:val="clear" w:color="auto" w:fill="EDEDED"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2809" w:type="dxa"/>
            <w:vMerge/>
            <w:shd w:val="clear" w:color="auto" w:fill="EDEDED"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3369" w:type="dxa"/>
            <w:vMerge/>
            <w:shd w:val="clear" w:color="auto" w:fill="EDEDED"/>
            <w:vAlign w:val="center"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97259F">
        <w:trPr>
          <w:trHeight w:val="412"/>
        </w:trPr>
        <w:tc>
          <w:tcPr>
            <w:tcW w:w="947" w:type="dxa"/>
            <w:shd w:val="clear" w:color="auto" w:fill="auto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РП-1</w:t>
            </w:r>
          </w:p>
        </w:tc>
        <w:tc>
          <w:tcPr>
            <w:tcW w:w="5198" w:type="dxa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Самостоятельно оценивать нормативно-техническую документацию и должностные инструкции в условиях техногенных чрезвычайных ситуаций на предприятии</w:t>
            </w:r>
          </w:p>
        </w:tc>
        <w:tc>
          <w:tcPr>
            <w:tcW w:w="2277" w:type="dxa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И.ОПК(У)-1.10,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И.ОПК(У)-1.12,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И.ОПК(У)-1.14,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И.ОПК(У)-2.3,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И.ОПК(У)-3.1,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И.ОПК(У)-3.2,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И.ПК(У)-1.2,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И.ПК(У)-4.1,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И.ПК(У)-1.3,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И.ПК(У)-1.4,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И.ПК(У)-2.1,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И.ПК(У)-8.1,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И.ПК(У)-8.3,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И.ПК(У)-9.1,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И.ОПК(У)-1.15,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И.ОПК(У)-1.16,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И.ОПК(У)-1.17.</w:t>
            </w:r>
          </w:p>
        </w:tc>
        <w:tc>
          <w:tcPr>
            <w:tcW w:w="2809" w:type="dxa"/>
            <w:vMerge w:val="restart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.</w:t>
            </w:r>
          </w:p>
        </w:tc>
        <w:tc>
          <w:tcPr>
            <w:tcW w:w="3369" w:type="dxa"/>
            <w:vMerge w:val="restart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практике, Экспертная оценка руководителя практики от обеспечивающего подразделения ТПУ</w:t>
            </w:r>
          </w:p>
        </w:tc>
      </w:tr>
      <w:tr w:rsidR="0097259F">
        <w:trPr>
          <w:trHeight w:val="412"/>
        </w:trPr>
        <w:tc>
          <w:tcPr>
            <w:tcW w:w="947" w:type="dxa"/>
            <w:shd w:val="clear" w:color="auto" w:fill="auto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РП-2</w:t>
            </w:r>
          </w:p>
        </w:tc>
        <w:tc>
          <w:tcPr>
            <w:tcW w:w="5198" w:type="dxa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Анализировать существующие на предприятии организационно-правовые документы, регламентирующие деятельность должностных лиц в области производственной безопасности</w:t>
            </w:r>
          </w:p>
        </w:tc>
        <w:tc>
          <w:tcPr>
            <w:tcW w:w="2277" w:type="dxa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И.ОПК(У)-1.9,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И.ПК(У)-11.1,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И.ОПК(У)-1.13,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И.ОПК(У)-2.4,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И.ОПК(У)-2.5,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И.ОПК(У)-2.3,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И.ОПК(У)-3.1,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И.ОПК(У)-3.2,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И.ОПК(У)-4.1,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И.ОПК(У)-4.2,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И.ОПК(У)-4.3,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И.ПК(У)-1.2,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И.ПК(У)-1.3,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И.ПК(У)-1.4,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И.ПК(У)-2.1,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И.ПК(У)-2.2,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И.ПК(У)-2.3,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И.ПК(У)-6.1,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И.ПК(У)-6.2,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И.ПК(У)-6.3,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И.ПК(У)-7.1,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И.ПК(У)-8.1,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И.ПК(У)-8.5,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И.ПК(У)-9.1,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И.ПК(У)-12.1.</w:t>
            </w:r>
          </w:p>
        </w:tc>
        <w:tc>
          <w:tcPr>
            <w:tcW w:w="2809" w:type="dxa"/>
            <w:vMerge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97259F">
        <w:trPr>
          <w:trHeight w:val="412"/>
        </w:trPr>
        <w:tc>
          <w:tcPr>
            <w:tcW w:w="947" w:type="dxa"/>
            <w:shd w:val="clear" w:color="auto" w:fill="auto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РП-3</w:t>
            </w:r>
          </w:p>
        </w:tc>
        <w:tc>
          <w:tcPr>
            <w:tcW w:w="5198" w:type="dxa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Самостоятельно оценивать показатели, характеризующие производственную безопасность деятельности организации</w:t>
            </w:r>
          </w:p>
        </w:tc>
        <w:tc>
          <w:tcPr>
            <w:tcW w:w="2277" w:type="dxa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И.ОПК(У)-1.2,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И.ОПК(У)-1.3,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И.ОПК(У)-1.4,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И.ОПК(У)-1.5,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И.ОПК(У)-1.6,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И.ОПК(У)-1.7,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И.ОПК(У)-1.8,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И.ОПК(У)-1.9,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И.ОПК(У)-1.14,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И.ОПК(У)-2.4,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И.ОПК(У)-2.6,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И.ОПК(У)-4.1,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И.ОПК(У)-4.2,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И.ОПК(У)-4.3,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И.ОПК(У)-4.4,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И.ОПК(У)-4.5,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И.ПК(У)-1.4,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И.ПК(У)-8.1,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И.ПК(У)-8.2,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И.ПК(У)-8.4,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И.ПК(У)-8.5,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И.ПК(У)-10.1.</w:t>
            </w:r>
          </w:p>
        </w:tc>
        <w:tc>
          <w:tcPr>
            <w:tcW w:w="2809" w:type="dxa"/>
            <w:vMerge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97259F">
        <w:trPr>
          <w:trHeight w:val="412"/>
        </w:trPr>
        <w:tc>
          <w:tcPr>
            <w:tcW w:w="947" w:type="dxa"/>
            <w:shd w:val="clear" w:color="auto" w:fill="auto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РП-4</w:t>
            </w:r>
          </w:p>
        </w:tc>
        <w:tc>
          <w:tcPr>
            <w:tcW w:w="5198" w:type="dxa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Разработать план мероприятий по обеспечению безопасности людей в случае техногенной аварии</w:t>
            </w:r>
          </w:p>
        </w:tc>
        <w:tc>
          <w:tcPr>
            <w:tcW w:w="2277" w:type="dxa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И.ОПК(У)-2.1,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И.ОПК(У)-2.2,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И.ОПК(У)-2.4,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И.ПК(У)-1.3,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И.ПК(У)-1.4,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И.ПК(У)-3.1,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И.ОПК(У)-4.1,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И.ПК(У)-5.1,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И.ПК(У)-7.1,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И.ПК(У)-8.1,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И.ПК(У)-8.2,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И.ПК(У)-8.4,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И.ПК(У)-9.1,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И.ПК(У)-9.2,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И.ПК(У)-9.3,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И.ПК(У)-9.4,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И.ПК(У)-11.1,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И.ПК(У)-12.1,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И.ПК(У)-13.1.</w:t>
            </w:r>
          </w:p>
        </w:tc>
        <w:tc>
          <w:tcPr>
            <w:tcW w:w="2809" w:type="dxa"/>
            <w:vMerge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97259F">
        <w:trPr>
          <w:trHeight w:val="412"/>
        </w:trPr>
        <w:tc>
          <w:tcPr>
            <w:tcW w:w="947" w:type="dxa"/>
            <w:shd w:val="clear" w:color="auto" w:fill="auto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РП-5</w:t>
            </w:r>
          </w:p>
        </w:tc>
        <w:tc>
          <w:tcPr>
            <w:tcW w:w="5198" w:type="dxa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Разработать методы планирования мероприятий по применению организационных основ обеспечения производственной безопасности</w:t>
            </w:r>
          </w:p>
        </w:tc>
        <w:tc>
          <w:tcPr>
            <w:tcW w:w="2277" w:type="dxa"/>
          </w:tcPr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И.ОПК(У)-1.10,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И.ОПК(У)-1.13,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И.ОПК(У)-2.1,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И.ОПК(У)-2.4,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И.ОПК(У)-2.6,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И.ПК(У)-1.4,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И.ПК(У)-2.3,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И.ПК(У)-6.1,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И.ПК(У)-6.2,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И.ПК(У)-6.3,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И.ПК(У)-7.1,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И.ПК(У)-8.1,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И.ПК(У)-8.2,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И.ПК(У)-8.3,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И.ПК(У)-8.4,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И.ПК(У)-8.5,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И.ПК(У)-9.1,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И.ПК(У)-9.2,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И.ПК(У)-9.3,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И.ПК(У)-9.4,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И.ПК(У)-10.1,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И.ПК(У)-11.1,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И.ПК(У)-12.1,</w:t>
            </w:r>
          </w:p>
          <w:p w:rsidR="0097259F" w:rsidRDefault="00011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И.ПК(У)-13.1.</w:t>
            </w:r>
          </w:p>
        </w:tc>
        <w:tc>
          <w:tcPr>
            <w:tcW w:w="2809" w:type="dxa"/>
            <w:vMerge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97259F" w:rsidRDefault="0097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</w:tbl>
    <w:p w:rsidR="0097259F" w:rsidRDefault="00011DBE">
      <w:pPr>
        <w:pStyle w:val="1"/>
      </w:pPr>
      <w:r>
        <w:t>Шкала оценивания</w:t>
      </w:r>
    </w:p>
    <w:p w:rsidR="0097259F" w:rsidRDefault="00011DBE">
      <w:pPr>
        <w:pStyle w:val="aff2"/>
      </w:pPr>
      <w:r>
        <w:t>Порядок организации оценивания результатов обучения в университете регламентируется отдельным локальным нормативным актом – «Система оценивания результатов обучения в Томском политехническом университете (Система оценивания)» (в действующей редакции). Используется балльно-рейтинговая система оценивания результатов обучения. Итоговая оценка (традиционная и литерная) по видам учебной деятельности (изучение дисциплин, УИРС, НИРС, курсовое проектирование, практики) определяется суммой баллов по результатам текущего контроля и промежуточной аттестации (итоговая рейтинговая оценка – максимум 100 баллов).</w:t>
      </w:r>
    </w:p>
    <w:p w:rsidR="0097259F" w:rsidRDefault="0097259F">
      <w:pPr>
        <w:pStyle w:val="aff2"/>
      </w:pPr>
    </w:p>
    <w:p w:rsidR="0097259F" w:rsidRDefault="00011DBE">
      <w:pPr>
        <w:pStyle w:val="aff2"/>
      </w:pPr>
      <w:r>
        <w:t>Распределение баллов за оценочные мероприятия установлено в Аттестационном листе по практике (п. 6).</w:t>
      </w:r>
    </w:p>
    <w:p w:rsidR="0097259F" w:rsidRDefault="0097259F">
      <w:pPr>
        <w:pStyle w:val="19"/>
      </w:pPr>
    </w:p>
    <w:p w:rsidR="0097259F" w:rsidRDefault="00011DBE">
      <w:pPr>
        <w:pStyle w:val="aff5"/>
        <w:rPr>
          <w:b w:val="0"/>
        </w:rPr>
      </w:pPr>
      <w:r>
        <w:rPr>
          <w:b w:val="0"/>
        </w:rPr>
        <w:t>Шкала для оценочных мероприятий и дифференцированного зачета</w:t>
      </w:r>
    </w:p>
    <w:tbl>
      <w:tblPr>
        <w:tblW w:w="14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984"/>
        <w:gridCol w:w="1692"/>
        <w:gridCol w:w="1402"/>
        <w:gridCol w:w="9106"/>
      </w:tblGrid>
      <w:tr w:rsidR="0097259F">
        <w:trPr>
          <w:trHeight w:val="277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97259F" w:rsidRDefault="00011DBE">
            <w:pPr>
              <w:pStyle w:val="aff7"/>
            </w:pPr>
            <w:r>
              <w:t>Степень сформированности результатов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97259F" w:rsidRDefault="00011DBE">
            <w:pPr>
              <w:pStyle w:val="aff7"/>
            </w:pPr>
            <w:r>
              <w:t>Балл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97259F" w:rsidRDefault="00011DBE">
            <w:pPr>
              <w:pStyle w:val="aff7"/>
            </w:pPr>
            <w:r>
              <w:t>Соответствие традиционной оценке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97259F" w:rsidRDefault="00011DBE">
            <w:pPr>
              <w:pStyle w:val="aff7"/>
            </w:pPr>
            <w:r>
              <w:t>Определение оценки</w:t>
            </w:r>
          </w:p>
        </w:tc>
      </w:tr>
      <w:tr w:rsidR="0097259F">
        <w:trPr>
          <w:trHeight w:val="44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97259F" w:rsidRDefault="00011DBE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97259F" w:rsidRDefault="00011DBE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97259F" w:rsidRDefault="00011DBE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«Отлично»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259F" w:rsidRDefault="00011DBE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97259F" w:rsidRDefault="00011DBE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Отличное понимание предмета, всесторонние знания, отличные умения и владение опытом практической деятельности, необходимые результаты обучения сформированы, их качество оценено количеством баллов, близким к максимальному</w:t>
            </w:r>
          </w:p>
        </w:tc>
      </w:tr>
      <w:tr w:rsidR="0097259F">
        <w:trPr>
          <w:trHeight w:val="5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97259F" w:rsidRDefault="00011DBE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97259F" w:rsidRDefault="00011DBE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97259F" w:rsidRDefault="00011DBE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«Хорошо»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259F" w:rsidRDefault="0097259F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97259F" w:rsidRDefault="00011DBE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Достаточно полное понимание предмета, хорошие знания, умения и опыт практической деятельности, необходимые результаты обучения сформированы, качество ни одного из них не оценено минимальным количеством баллов</w:t>
            </w:r>
          </w:p>
        </w:tc>
      </w:tr>
      <w:tr w:rsidR="0097259F">
        <w:trPr>
          <w:trHeight w:val="5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97259F" w:rsidRDefault="00011DBE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97259F" w:rsidRDefault="00011DBE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97259F" w:rsidRDefault="00011DBE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«Удовл.»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9F" w:rsidRDefault="0097259F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97259F" w:rsidRDefault="00011DBE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Приемлемое понимание предмета, удовлетворительные знания, умения и опыт практической деятельности, необходимые результаты обучения сформированы, качество некоторых из них оценено минимальным количеством баллов</w:t>
            </w:r>
          </w:p>
        </w:tc>
      </w:tr>
      <w:tr w:rsidR="0097259F">
        <w:trPr>
          <w:trHeight w:val="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97259F" w:rsidRDefault="00011DBE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97259F" w:rsidRDefault="00011DBE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97259F" w:rsidRDefault="00011DBE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«Неудовл.»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9F" w:rsidRDefault="00011DBE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 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97259F" w:rsidRDefault="00011DBE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Результаты обучения не соответствуют минимально достаточным требованиям</w:t>
            </w:r>
          </w:p>
        </w:tc>
      </w:tr>
    </w:tbl>
    <w:p w:rsidR="0097259F" w:rsidRDefault="00011DBE">
      <w:pPr>
        <w:pStyle w:val="1"/>
      </w:pPr>
      <w:r>
        <w:t>Перечень типовых заданий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1"/>
        <w:gridCol w:w="3269"/>
        <w:gridCol w:w="10340"/>
      </w:tblGrid>
      <w:tr w:rsidR="0097259F">
        <w:trPr>
          <w:trHeight w:val="425"/>
          <w:tblHeader/>
        </w:trPr>
        <w:tc>
          <w:tcPr>
            <w:tcW w:w="991" w:type="dxa"/>
            <w:shd w:val="clear" w:color="auto" w:fill="F2F2F2" w:themeFill="background1" w:themeFillShade="F2"/>
            <w:vAlign w:val="center"/>
          </w:tcPr>
          <w:p w:rsidR="0097259F" w:rsidRDefault="00011DBE">
            <w:pPr>
              <w:pStyle w:val="aff7"/>
            </w:pPr>
            <w:r>
              <w:t>№ п/п</w:t>
            </w:r>
          </w:p>
        </w:tc>
        <w:tc>
          <w:tcPr>
            <w:tcW w:w="3269" w:type="dxa"/>
            <w:shd w:val="clear" w:color="auto" w:fill="F2F2F2" w:themeFill="background1" w:themeFillShade="F2"/>
            <w:vAlign w:val="center"/>
          </w:tcPr>
          <w:p w:rsidR="0097259F" w:rsidRDefault="00011DBE">
            <w:pPr>
              <w:pStyle w:val="aff7"/>
            </w:pPr>
            <w:r>
              <w:t>Оценочные мероприятия</w:t>
            </w:r>
          </w:p>
        </w:tc>
        <w:tc>
          <w:tcPr>
            <w:tcW w:w="10340" w:type="dxa"/>
            <w:shd w:val="clear" w:color="auto" w:fill="F2F2F2" w:themeFill="background1" w:themeFillShade="F2"/>
            <w:vAlign w:val="center"/>
          </w:tcPr>
          <w:p w:rsidR="0097259F" w:rsidRDefault="00011DBE">
            <w:pPr>
              <w:pStyle w:val="aff7"/>
            </w:pPr>
            <w:r>
              <w:t>Примеры типовых контрольных заданий</w:t>
            </w:r>
          </w:p>
        </w:tc>
      </w:tr>
      <w:tr w:rsidR="0097259F">
        <w:tc>
          <w:tcPr>
            <w:tcW w:w="991" w:type="dxa"/>
          </w:tcPr>
          <w:p w:rsidR="0097259F" w:rsidRDefault="00011DBE">
            <w:pPr>
              <w:pStyle w:val="aff"/>
              <w:widowControl/>
              <w:numPr>
                <w:ilvl w:val="0"/>
                <w:numId w:val="3"/>
              </w:numPr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</w:t>
            </w:r>
          </w:p>
        </w:tc>
        <w:tc>
          <w:tcPr>
            <w:tcW w:w="3269" w:type="dxa"/>
          </w:tcPr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tcW w:w="10340" w:type="dxa"/>
          </w:tcPr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Примерный перечень контрольных вопросов:</w:t>
            </w:r>
          </w:p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В каких случаях допускается применять незащищенные металлические конструкции?</w:t>
            </w:r>
          </w:p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2. В каких случаях объект защиты должен иметь систему обеспечения пожарной безопасности?</w:t>
            </w:r>
          </w:p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3. В каких случаях пожарная безопасность объекта защиты считается обеспеченной?</w:t>
            </w:r>
          </w:p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4. В каких случаях положения Технического регламента о требованиях пожарной безопасности обязательны для исполнения?</w:t>
            </w:r>
          </w:p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5. На кого возлагается обязанность по проведению повторного инструктажа по охране труда?</w:t>
            </w:r>
          </w:p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6. Для кого является обязательным исполнение государственных нормативных требований охраны труда?</w:t>
            </w:r>
          </w:p>
        </w:tc>
      </w:tr>
      <w:tr w:rsidR="0097259F">
        <w:tc>
          <w:tcPr>
            <w:tcW w:w="991" w:type="dxa"/>
          </w:tcPr>
          <w:p w:rsidR="0097259F" w:rsidRDefault="00011DBE">
            <w:pPr>
              <w:pStyle w:val="aff"/>
              <w:widowControl/>
              <w:numPr>
                <w:ilvl w:val="0"/>
                <w:numId w:val="3"/>
              </w:numPr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</w:t>
            </w:r>
          </w:p>
        </w:tc>
        <w:tc>
          <w:tcPr>
            <w:tcW w:w="3269" w:type="dxa"/>
          </w:tcPr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tcW w:w="10340" w:type="dxa"/>
          </w:tcPr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Отзыв руководителя практики от обеспечивающего подразделения ТПУ:</w:t>
            </w:r>
          </w:p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Отзыв по стандартной форме (на основании результатов работы, отраженных в Дневнике практики и Отчете по практике)</w:t>
            </w:r>
          </w:p>
        </w:tc>
      </w:tr>
    </w:tbl>
    <w:p w:rsidR="0097259F" w:rsidRDefault="0097259F">
      <w:pPr>
        <w:spacing w:after="0" w:line="240" w:lineRule="auto"/>
        <w:rPr>
          <w:rFonts w:eastAsia="Times New Roman"/>
          <w:szCs w:val="24"/>
        </w:rPr>
      </w:pPr>
    </w:p>
    <w:p w:rsidR="0097259F" w:rsidRDefault="00011DBE">
      <w:pPr>
        <w:pStyle w:val="1"/>
      </w:pPr>
      <w:r>
        <w:t>Методические указания по процедуре оценивания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5"/>
        <w:gridCol w:w="3333"/>
        <w:gridCol w:w="10542"/>
      </w:tblGrid>
      <w:tr w:rsidR="0097259F">
        <w:trPr>
          <w:trHeight w:val="425"/>
          <w:tblHeader/>
        </w:trPr>
        <w:tc>
          <w:tcPr>
            <w:tcW w:w="725" w:type="dxa"/>
            <w:shd w:val="clear" w:color="auto" w:fill="F2F2F2" w:themeFill="background1" w:themeFillShade="F2"/>
            <w:vAlign w:val="center"/>
          </w:tcPr>
          <w:p w:rsidR="0097259F" w:rsidRDefault="00011DBE">
            <w:pPr>
              <w:pStyle w:val="aff7"/>
            </w:pPr>
            <w:r>
              <w:t>№ п/п</w:t>
            </w:r>
          </w:p>
        </w:tc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97259F" w:rsidRDefault="00011DBE">
            <w:pPr>
              <w:pStyle w:val="aff7"/>
            </w:pPr>
            <w:r>
              <w:t>Оценочные мероприятия</w:t>
            </w:r>
          </w:p>
        </w:tc>
        <w:tc>
          <w:tcPr>
            <w:tcW w:w="10542" w:type="dxa"/>
            <w:shd w:val="clear" w:color="auto" w:fill="F2F2F2" w:themeFill="background1" w:themeFillShade="F2"/>
            <w:vAlign w:val="center"/>
          </w:tcPr>
          <w:p w:rsidR="0097259F" w:rsidRDefault="00011DBE">
            <w:pPr>
              <w:pStyle w:val="aff7"/>
            </w:pPr>
            <w:r>
              <w:t>Процедура проведения оценочного мероприятия и необходимые методические указания</w:t>
            </w:r>
          </w:p>
        </w:tc>
      </w:tr>
      <w:tr w:rsidR="0097259F">
        <w:tc>
          <w:tcPr>
            <w:tcW w:w="725" w:type="dxa"/>
          </w:tcPr>
          <w:p w:rsidR="0097259F" w:rsidRDefault="00011DBE">
            <w:pPr>
              <w:pStyle w:val="aff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{ </w:t>
            </w:r>
          </w:p>
        </w:tc>
        <w:tc>
          <w:tcPr>
            <w:tcW w:w="3333" w:type="dxa"/>
          </w:tcPr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отчета по практике</w:t>
            </w:r>
          </w:p>
        </w:tc>
        <w:tc>
          <w:tcPr>
            <w:tcW w:w="10542" w:type="dxa"/>
          </w:tcPr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Руководитель практики от ТПУ проводит оценивание на основании отчета по практике:</w:t>
            </w:r>
          </w:p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соответствие отчета о практике по структуре и содержанию установленным требованиям (Положение о практике);</w:t>
            </w:r>
          </w:p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выполнение индивидуального задания практики в полном объеме;</w:t>
            </w:r>
          </w:p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степень соответствия выполненных работ содержанию заявленных результатов обучения;</w:t>
            </w:r>
          </w:p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четкость и техническая правильность оформления отчета и дневника практики;</w:t>
            </w:r>
          </w:p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дополнительно для отчета в форме эссе: грамотность, раскрытие темы, глубина проработки, использование дополнительной литературы и нормативных документов, демонстрационные материалы.</w:t>
            </w:r>
          </w:p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Результат оценивания: руководитель практики от ТПУ делает выводы о степени сформированности результатов обучения в Дневнике обучающегося по практике - отзыв руководителя практики от обеспечивающего подразделения ТПУ</w:t>
            </w:r>
          </w:p>
        </w:tc>
      </w:tr>
      <w:tr w:rsidR="0097259F">
        <w:tc>
          <w:tcPr>
            <w:tcW w:w="725" w:type="dxa"/>
          </w:tcPr>
          <w:p w:rsidR="0097259F" w:rsidRDefault="00011DBE">
            <w:pPr>
              <w:pStyle w:val="aff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{ </w:t>
            </w:r>
          </w:p>
        </w:tc>
        <w:tc>
          <w:tcPr>
            <w:tcW w:w="3333" w:type="dxa"/>
          </w:tcPr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tcW w:w="10542" w:type="dxa"/>
          </w:tcPr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Оценивание проводит комиссия по защите практики, в количестве не менее двух человек, в т.ч. руководитель практики от ТПУ</w:t>
            </w:r>
          </w:p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На защите:</w:t>
            </w:r>
          </w:p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-обучающийся предъявляет комиссии отчет и дневник практики и делает краткое сообщение, сопровождаемое показом демонстрационных материалов;</w:t>
            </w:r>
          </w:p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-члены комиссии задают обучающемуся вопросы и заслушивают ответы;</w:t>
            </w:r>
          </w:p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-могут быть заданы теоретические и практические вопросы по представленным в отчете материалам и практике в целом;</w:t>
            </w:r>
          </w:p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-члены комиссии оценивают выполненную работу и ответы на вопросы в соответствии с критериями в п.3.</w:t>
            </w:r>
          </w:p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может проходить в публичной или индивидуальной форме.</w:t>
            </w:r>
          </w:p>
          <w:p w:rsidR="0097259F" w:rsidRDefault="00011DB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По итогам защиты комиссия делает выводы о степени сформированности результатов обучения в аттестационном листе практики.</w:t>
            </w:r>
          </w:p>
        </w:tc>
      </w:tr>
    </w:tbl>
    <w:p w:rsidR="0097259F" w:rsidRDefault="00011DBE">
      <w:pPr>
        <w:rPr>
          <w:rFonts w:eastAsia="MS Mincho"/>
          <w:b/>
          <w:bCs/>
          <w:szCs w:val="24"/>
        </w:rPr>
      </w:pPr>
      <w:r>
        <w:br w:type="page"/>
      </w:r>
    </w:p>
    <w:p w:rsidR="0097259F" w:rsidRDefault="00011DBE">
      <w:pPr>
        <w:pStyle w:val="1"/>
      </w:pPr>
      <w:r>
        <w:t>Аттестационный лист по практике</w:t>
      </w:r>
    </w:p>
    <w:tbl>
      <w:tblPr>
        <w:tblStyle w:val="af7"/>
        <w:tblW w:w="0" w:type="auto"/>
        <w:tblInd w:w="-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81"/>
        <w:gridCol w:w="1394"/>
        <w:gridCol w:w="1045"/>
        <w:gridCol w:w="2622"/>
        <w:gridCol w:w="1219"/>
        <w:gridCol w:w="1219"/>
        <w:gridCol w:w="1219"/>
        <w:gridCol w:w="1219"/>
        <w:gridCol w:w="1219"/>
        <w:gridCol w:w="1708"/>
      </w:tblGrid>
      <w:tr w:rsidR="0097259F">
        <w:trPr>
          <w:cantSplit/>
          <w:tblHeader/>
        </w:trPr>
        <w:tc>
          <w:tcPr>
            <w:tcW w:w="2373" w:type="dxa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>Оценочное мероприятие</w:t>
            </w:r>
          </w:p>
        </w:tc>
        <w:tc>
          <w:tcPr>
            <w:tcW w:w="1524" w:type="dxa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>Оценивание проводит</w:t>
            </w:r>
          </w:p>
        </w:tc>
        <w:tc>
          <w:tcPr>
            <w:tcW w:w="2223" w:type="dxa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>Доля в оценке</w:t>
            </w:r>
          </w:p>
        </w:tc>
        <w:tc>
          <w:tcPr>
            <w:tcW w:w="4964" w:type="dxa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>Код и наименование результата обучения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 xml:space="preserve"> РП-1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 xml:space="preserve"> РП-2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 xml:space="preserve"> РП-3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 xml:space="preserve"> РП-4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 xml:space="preserve"> РП-5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97259F" w:rsidRDefault="00011DBE">
            <w:pPr>
              <w:pStyle w:val="aff7"/>
            </w:pPr>
            <w:r>
              <w:t xml:space="preserve"> Балл по всем результатам</w:t>
            </w:r>
          </w:p>
        </w:tc>
      </w:tr>
      <w:tr w:rsidR="0097259F">
        <w:trPr>
          <w:cantSplit/>
        </w:trPr>
        <w:tc>
          <w:tcPr>
            <w:tcW w:w="2373" w:type="dxa"/>
            <w:vMerge w:val="restart"/>
          </w:tcPr>
          <w:p w:rsidR="0097259F" w:rsidRDefault="00011DBE">
            <w:pPr>
              <w:keepNext/>
              <w:keepLines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tcW w:w="1524" w:type="dxa"/>
            <w:vMerge w:val="restart"/>
          </w:tcPr>
          <w:p w:rsidR="0097259F" w:rsidRDefault="00011DBE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Руководитель практики от ТПУ</w:t>
            </w:r>
          </w:p>
        </w:tc>
        <w:tc>
          <w:tcPr>
            <w:tcW w:w="2223" w:type="dxa"/>
            <w:vMerge w:val="restart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40%</w:t>
            </w:r>
          </w:p>
        </w:tc>
        <w:tc>
          <w:tcPr>
            <w:tcW w:w="4964" w:type="dxa"/>
          </w:tcPr>
          <w:p w:rsidR="0097259F" w:rsidRDefault="00011DBE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 w:rsidR="0097259F">
        <w:trPr>
          <w:cantSplit/>
        </w:trPr>
        <w:tc>
          <w:tcPr>
            <w:tcW w:w="2373" w:type="dxa"/>
            <w:vMerge/>
          </w:tcPr>
          <w:p w:rsidR="0097259F" w:rsidRDefault="0097259F"/>
        </w:tc>
        <w:tc>
          <w:tcPr>
            <w:tcW w:w="1524" w:type="dxa"/>
            <w:vMerge/>
          </w:tcPr>
          <w:p w:rsidR="0097259F" w:rsidRDefault="0097259F"/>
        </w:tc>
        <w:tc>
          <w:tcPr>
            <w:tcW w:w="2223" w:type="dxa"/>
            <w:vMerge/>
          </w:tcPr>
          <w:p w:rsidR="0097259F" w:rsidRDefault="0097259F"/>
        </w:tc>
        <w:tc>
          <w:tcPr>
            <w:tcW w:w="4964" w:type="dxa"/>
          </w:tcPr>
          <w:p w:rsidR="0097259F" w:rsidRDefault="00011DBE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 w:rsidR="0097259F">
        <w:trPr>
          <w:cantSplit/>
        </w:trPr>
        <w:tc>
          <w:tcPr>
            <w:tcW w:w="2373" w:type="dxa"/>
            <w:vMerge/>
          </w:tcPr>
          <w:p w:rsidR="0097259F" w:rsidRDefault="0097259F"/>
        </w:tc>
        <w:tc>
          <w:tcPr>
            <w:tcW w:w="1524" w:type="dxa"/>
            <w:vMerge/>
          </w:tcPr>
          <w:p w:rsidR="0097259F" w:rsidRDefault="0097259F"/>
        </w:tc>
        <w:tc>
          <w:tcPr>
            <w:tcW w:w="2223" w:type="dxa"/>
            <w:vMerge/>
          </w:tcPr>
          <w:p w:rsidR="0097259F" w:rsidRDefault="0097259F"/>
        </w:tc>
        <w:tc>
          <w:tcPr>
            <w:tcW w:w="4964" w:type="dxa"/>
            <w:tcBorders>
              <w:bottom w:val="single" w:sz="4" w:space="0" w:color="auto"/>
            </w:tcBorders>
          </w:tcPr>
          <w:p w:rsidR="0097259F" w:rsidRDefault="00011DBE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(0÷100)%</w:t>
            </w:r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97259F" w:rsidRDefault="0097259F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97259F" w:rsidRDefault="0097259F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97259F" w:rsidRDefault="0097259F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97259F" w:rsidRDefault="0097259F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97259F" w:rsidRDefault="0097259F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97259F" w:rsidRDefault="0097259F"/>
        </w:tc>
      </w:tr>
      <w:tr w:rsidR="0097259F">
        <w:trPr>
          <w:cantSplit/>
          <w:trHeight w:val="322"/>
        </w:trPr>
        <w:tc>
          <w:tcPr>
            <w:tcW w:w="2373" w:type="dxa"/>
            <w:vMerge/>
          </w:tcPr>
          <w:p w:rsidR="0097259F" w:rsidRDefault="0097259F"/>
        </w:tc>
        <w:tc>
          <w:tcPr>
            <w:tcW w:w="1524" w:type="dxa"/>
            <w:vMerge/>
          </w:tcPr>
          <w:p w:rsidR="0097259F" w:rsidRDefault="0097259F"/>
        </w:tc>
        <w:tc>
          <w:tcPr>
            <w:tcW w:w="2223" w:type="dxa"/>
            <w:vMerge/>
          </w:tcPr>
          <w:p w:rsidR="0097259F" w:rsidRDefault="0097259F"/>
        </w:tc>
        <w:tc>
          <w:tcPr>
            <w:tcW w:w="4964" w:type="dxa"/>
            <w:shd w:val="clear" w:color="auto" w:fill="C6D9F1" w:themeFill="text2" w:themeFillTint="33"/>
          </w:tcPr>
          <w:p w:rsidR="0097259F" w:rsidRDefault="00011DBE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97259F" w:rsidRDefault="0097259F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97259F" w:rsidRDefault="0097259F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97259F" w:rsidRDefault="0097259F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97259F" w:rsidRDefault="0097259F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97259F" w:rsidRDefault="0097259F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97259F" w:rsidRDefault="0097259F"/>
        </w:tc>
      </w:tr>
      <w:tr w:rsidR="0097259F">
        <w:trPr>
          <w:cantSplit/>
        </w:trPr>
        <w:tc>
          <w:tcPr>
            <w:tcW w:w="2373" w:type="dxa"/>
            <w:vMerge w:val="restart"/>
          </w:tcPr>
          <w:p w:rsidR="0097259F" w:rsidRDefault="00011DBE">
            <w:pPr>
              <w:keepNext/>
              <w:keepLines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tcW w:w="1524" w:type="dxa"/>
            <w:vMerge w:val="restart"/>
          </w:tcPr>
          <w:p w:rsidR="0097259F" w:rsidRDefault="00011DBE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Члены комиссии</w:t>
            </w:r>
          </w:p>
        </w:tc>
        <w:tc>
          <w:tcPr>
            <w:tcW w:w="2223" w:type="dxa"/>
            <w:vMerge w:val="restart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60%</w:t>
            </w:r>
          </w:p>
        </w:tc>
        <w:tc>
          <w:tcPr>
            <w:tcW w:w="4964" w:type="dxa"/>
          </w:tcPr>
          <w:p w:rsidR="0097259F" w:rsidRDefault="00011DBE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 w:rsidR="0097259F">
        <w:trPr>
          <w:cantSplit/>
        </w:trPr>
        <w:tc>
          <w:tcPr>
            <w:tcW w:w="2373" w:type="dxa"/>
            <w:vMerge/>
          </w:tcPr>
          <w:p w:rsidR="0097259F" w:rsidRDefault="0097259F"/>
        </w:tc>
        <w:tc>
          <w:tcPr>
            <w:tcW w:w="1524" w:type="dxa"/>
            <w:vMerge/>
          </w:tcPr>
          <w:p w:rsidR="0097259F" w:rsidRDefault="0097259F"/>
        </w:tc>
        <w:tc>
          <w:tcPr>
            <w:tcW w:w="2223" w:type="dxa"/>
            <w:vMerge/>
          </w:tcPr>
          <w:p w:rsidR="0097259F" w:rsidRDefault="0097259F"/>
        </w:tc>
        <w:tc>
          <w:tcPr>
            <w:tcW w:w="4964" w:type="dxa"/>
          </w:tcPr>
          <w:p w:rsidR="0097259F" w:rsidRDefault="00011DBE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 w:rsidR="0097259F">
        <w:trPr>
          <w:cantSplit/>
        </w:trPr>
        <w:tc>
          <w:tcPr>
            <w:tcW w:w="2373" w:type="dxa"/>
            <w:vMerge/>
          </w:tcPr>
          <w:p w:rsidR="0097259F" w:rsidRDefault="0097259F"/>
        </w:tc>
        <w:tc>
          <w:tcPr>
            <w:tcW w:w="1524" w:type="dxa"/>
            <w:vMerge/>
          </w:tcPr>
          <w:p w:rsidR="0097259F" w:rsidRDefault="0097259F"/>
        </w:tc>
        <w:tc>
          <w:tcPr>
            <w:tcW w:w="2223" w:type="dxa"/>
            <w:vMerge/>
          </w:tcPr>
          <w:p w:rsidR="0097259F" w:rsidRDefault="0097259F"/>
        </w:tc>
        <w:tc>
          <w:tcPr>
            <w:tcW w:w="4964" w:type="dxa"/>
            <w:tcBorders>
              <w:bottom w:val="single" w:sz="4" w:space="0" w:color="auto"/>
            </w:tcBorders>
          </w:tcPr>
          <w:p w:rsidR="0097259F" w:rsidRDefault="00011DBE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(0÷100)%</w:t>
            </w:r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97259F" w:rsidRDefault="0097259F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97259F" w:rsidRDefault="0097259F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97259F" w:rsidRDefault="0097259F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97259F" w:rsidRDefault="0097259F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97259F" w:rsidRDefault="0097259F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97259F" w:rsidRDefault="0097259F"/>
        </w:tc>
      </w:tr>
      <w:tr w:rsidR="0097259F">
        <w:trPr>
          <w:cantSplit/>
          <w:trHeight w:val="726"/>
        </w:trPr>
        <w:tc>
          <w:tcPr>
            <w:tcW w:w="2373" w:type="dxa"/>
            <w:vMerge/>
          </w:tcPr>
          <w:p w:rsidR="0097259F" w:rsidRDefault="0097259F"/>
        </w:tc>
        <w:tc>
          <w:tcPr>
            <w:tcW w:w="1524" w:type="dxa"/>
            <w:vMerge/>
          </w:tcPr>
          <w:p w:rsidR="0097259F" w:rsidRDefault="0097259F"/>
        </w:tc>
        <w:tc>
          <w:tcPr>
            <w:tcW w:w="2223" w:type="dxa"/>
            <w:vMerge/>
          </w:tcPr>
          <w:p w:rsidR="0097259F" w:rsidRDefault="0097259F"/>
        </w:tc>
        <w:tc>
          <w:tcPr>
            <w:tcW w:w="4964" w:type="dxa"/>
            <w:shd w:val="clear" w:color="auto" w:fill="C6D9F1" w:themeFill="text2" w:themeFillTint="33"/>
          </w:tcPr>
          <w:p w:rsidR="0097259F" w:rsidRDefault="00011DBE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97259F" w:rsidRDefault="0097259F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97259F" w:rsidRDefault="0097259F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97259F" w:rsidRDefault="0097259F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97259F" w:rsidRDefault="0097259F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97259F" w:rsidRDefault="0097259F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97259F" w:rsidRDefault="0097259F"/>
        </w:tc>
      </w:tr>
      <w:tr w:rsidR="0097259F">
        <w:trPr>
          <w:cantSplit/>
          <w:trHeight w:val="70"/>
        </w:trPr>
        <w:tc>
          <w:tcPr>
            <w:tcW w:w="11084" w:type="dxa"/>
            <w:gridSpan w:val="4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b/>
                <w:sz w:val="20"/>
              </w:rPr>
              <w:t>Итоговый балл за результат (с учетом доли мероприятия)</w:t>
            </w:r>
          </w:p>
        </w:tc>
        <w:tc>
          <w:tcPr>
            <w:tcW w:w="3481" w:type="dxa"/>
            <w:shd w:val="clear" w:color="auto" w:fill="FFFFFF" w:themeFill="background1"/>
            <w:vAlign w:val="center"/>
          </w:tcPr>
          <w:p w:rsidR="0097259F" w:rsidRDefault="0097259F"/>
        </w:tc>
        <w:tc>
          <w:tcPr>
            <w:tcW w:w="3481" w:type="dxa"/>
            <w:shd w:val="clear" w:color="auto" w:fill="FFFFFF" w:themeFill="background1"/>
            <w:vAlign w:val="center"/>
          </w:tcPr>
          <w:p w:rsidR="0097259F" w:rsidRDefault="0097259F"/>
        </w:tc>
        <w:tc>
          <w:tcPr>
            <w:tcW w:w="3481" w:type="dxa"/>
            <w:shd w:val="clear" w:color="auto" w:fill="FFFFFF" w:themeFill="background1"/>
            <w:vAlign w:val="center"/>
          </w:tcPr>
          <w:p w:rsidR="0097259F" w:rsidRDefault="0097259F"/>
        </w:tc>
        <w:tc>
          <w:tcPr>
            <w:tcW w:w="3481" w:type="dxa"/>
            <w:shd w:val="clear" w:color="auto" w:fill="FFFFFF" w:themeFill="background1"/>
            <w:vAlign w:val="center"/>
          </w:tcPr>
          <w:p w:rsidR="0097259F" w:rsidRDefault="0097259F"/>
        </w:tc>
        <w:tc>
          <w:tcPr>
            <w:tcW w:w="3481" w:type="dxa"/>
            <w:shd w:val="clear" w:color="auto" w:fill="FFFFFF" w:themeFill="background1"/>
            <w:vAlign w:val="center"/>
          </w:tcPr>
          <w:p w:rsidR="0097259F" w:rsidRDefault="0097259F"/>
        </w:tc>
        <w:tc>
          <w:tcPr>
            <w:tcW w:w="3481" w:type="dxa"/>
            <w:shd w:val="clear" w:color="auto" w:fill="FFFFFF" w:themeFill="background1"/>
            <w:vAlign w:val="center"/>
          </w:tcPr>
          <w:p w:rsidR="0097259F" w:rsidRDefault="0097259F"/>
        </w:tc>
      </w:tr>
      <w:tr w:rsidR="0097259F">
        <w:trPr>
          <w:cantSplit/>
        </w:trPr>
        <w:tc>
          <w:tcPr>
            <w:tcW w:w="3897" w:type="dxa"/>
            <w:gridSpan w:val="8"/>
            <w:vAlign w:val="center"/>
          </w:tcPr>
          <w:p w:rsidR="0097259F" w:rsidRDefault="00011DBE">
            <w:pPr>
              <w:keepNext/>
              <w:keepLines/>
              <w:spacing w:after="0" w:line="240" w:lineRule="auto"/>
              <w:jc w:val="right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 xml:space="preserve"> Итоговая оценка в традиционной форме</w:t>
            </w:r>
          </w:p>
        </w:tc>
        <w:tc>
          <w:tcPr>
            <w:tcW w:w="7187" w:type="dxa"/>
            <w:gridSpan w:val="2"/>
            <w:vAlign w:val="center"/>
          </w:tcPr>
          <w:p w:rsidR="0097259F" w:rsidRDefault="0097259F"/>
        </w:tc>
      </w:tr>
    </w:tbl>
    <w:p w:rsidR="0097259F" w:rsidRDefault="0097259F">
      <w:pPr>
        <w:spacing w:after="0" w:line="240" w:lineRule="auto"/>
        <w:rPr>
          <w:rFonts w:eastAsia="Times New Roman"/>
        </w:rPr>
      </w:pPr>
    </w:p>
    <w:sectPr w:rsidR="0097259F">
      <w:footerReference w:type="default" r:id="rId10"/>
      <w:pgSz w:w="16838" w:h="11909" w:orient="landscape"/>
      <w:pgMar w:top="1134" w:right="1134" w:bottom="1134" w:left="1134" w:header="567" w:footer="567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28DC" w:rsidRDefault="001228DC">
      <w:pPr>
        <w:spacing w:line="240" w:lineRule="auto"/>
      </w:pPr>
      <w:r>
        <w:separator/>
      </w:r>
    </w:p>
  </w:endnote>
  <w:endnote w:type="continuationSeparator" w:id="0">
    <w:p w:rsidR="001228DC" w:rsidRDefault="001228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59F" w:rsidRDefault="00011DBE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Times New Roman"/>
        <w:szCs w:val="24"/>
      </w:rPr>
    </w:pPr>
    <w:r>
      <w:rPr>
        <w:rFonts w:eastAsia="MS Mincho"/>
        <w:bCs/>
        <w:szCs w:val="24"/>
      </w:rPr>
      <w:t>2024 г.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6230743"/>
      <w:docPartObj>
        <w:docPartGallery w:val="Page Numbers (Bottom of Page)"/>
        <w:docPartUnique/>
      </w:docPartObj>
    </w:sdtPr>
    <w:sdtEndPr/>
    <w:sdtContent>
      <w:p w:rsidR="0097259F" w:rsidRDefault="00011DBE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C56">
          <w:rPr>
            <w:noProof/>
          </w:rPr>
          <w:t>41</w:t>
        </w:r>
        <w:r>
          <w:fldChar w:fldCharType="end"/>
        </w:r>
      </w:p>
    </w:sdtContent>
  </w:sdt>
  <w:p w:rsidR="0097259F" w:rsidRDefault="0097259F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28DC" w:rsidRDefault="001228DC">
      <w:pPr>
        <w:spacing w:after="0" w:line="240" w:lineRule="auto"/>
      </w:pPr>
      <w:r>
        <w:separator/>
      </w:r>
    </w:p>
  </w:footnote>
  <w:footnote w:type="continuationSeparator" w:id="0">
    <w:p w:rsidR="001228DC" w:rsidRDefault="00122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59F" w:rsidRDefault="0097259F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A07EE"/>
    <w:multiLevelType w:val="multilevel"/>
    <w:tmpl w:val="4C3A0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E2A29"/>
    <w:multiLevelType w:val="multilevel"/>
    <w:tmpl w:val="6FBE2A29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711A396D"/>
    <w:multiLevelType w:val="multilevel"/>
    <w:tmpl w:val="711A396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238F8"/>
    <w:multiLevelType w:val="multilevel"/>
    <w:tmpl w:val="767238F8"/>
    <w:lvl w:ilvl="0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DD0"/>
    <w:rsid w:val="84DEC1F6"/>
    <w:rsid w:val="8FF94F2E"/>
    <w:rsid w:val="9F4F1C71"/>
    <w:rsid w:val="B4EF3855"/>
    <w:rsid w:val="BB1B50D5"/>
    <w:rsid w:val="BE41D061"/>
    <w:rsid w:val="BF5DE801"/>
    <w:rsid w:val="BFCEEFA6"/>
    <w:rsid w:val="BFFB8E4D"/>
    <w:rsid w:val="CDEB5B7D"/>
    <w:rsid w:val="EEBA9925"/>
    <w:rsid w:val="F7FF0E83"/>
    <w:rsid w:val="FD2D88C0"/>
    <w:rsid w:val="FDF773CE"/>
    <w:rsid w:val="FDFD17C2"/>
    <w:rsid w:val="FF7BDF5E"/>
    <w:rsid w:val="FFED8D5A"/>
    <w:rsid w:val="FFEFADA3"/>
    <w:rsid w:val="FFF9FFE2"/>
    <w:rsid w:val="000071BD"/>
    <w:rsid w:val="00011DBE"/>
    <w:rsid w:val="000133E4"/>
    <w:rsid w:val="00016147"/>
    <w:rsid w:val="00023EFC"/>
    <w:rsid w:val="00057CAA"/>
    <w:rsid w:val="00063FC9"/>
    <w:rsid w:val="00065712"/>
    <w:rsid w:val="0008683D"/>
    <w:rsid w:val="00087CCE"/>
    <w:rsid w:val="0009021D"/>
    <w:rsid w:val="000B6836"/>
    <w:rsid w:val="000C1273"/>
    <w:rsid w:val="000C1D22"/>
    <w:rsid w:val="000C2EF1"/>
    <w:rsid w:val="000C77A9"/>
    <w:rsid w:val="000D4373"/>
    <w:rsid w:val="000E10D2"/>
    <w:rsid w:val="000F32FB"/>
    <w:rsid w:val="000F5202"/>
    <w:rsid w:val="000F6DD0"/>
    <w:rsid w:val="000F7258"/>
    <w:rsid w:val="0011369E"/>
    <w:rsid w:val="00114202"/>
    <w:rsid w:val="001228DC"/>
    <w:rsid w:val="001318F1"/>
    <w:rsid w:val="00133EDB"/>
    <w:rsid w:val="0013680B"/>
    <w:rsid w:val="00137E54"/>
    <w:rsid w:val="001509FA"/>
    <w:rsid w:val="00171AA8"/>
    <w:rsid w:val="00177332"/>
    <w:rsid w:val="00192AB3"/>
    <w:rsid w:val="0019790E"/>
    <w:rsid w:val="001A25E6"/>
    <w:rsid w:val="001B04B6"/>
    <w:rsid w:val="001B442F"/>
    <w:rsid w:val="001C0040"/>
    <w:rsid w:val="001D620C"/>
    <w:rsid w:val="001D6EC7"/>
    <w:rsid w:val="001D7663"/>
    <w:rsid w:val="001E0DF4"/>
    <w:rsid w:val="001E1869"/>
    <w:rsid w:val="001E6E65"/>
    <w:rsid w:val="00220170"/>
    <w:rsid w:val="00230DA3"/>
    <w:rsid w:val="00231421"/>
    <w:rsid w:val="0024023C"/>
    <w:rsid w:val="00247417"/>
    <w:rsid w:val="0026351B"/>
    <w:rsid w:val="0029015B"/>
    <w:rsid w:val="002B1D41"/>
    <w:rsid w:val="002C6DB0"/>
    <w:rsid w:val="002D172D"/>
    <w:rsid w:val="002D6E02"/>
    <w:rsid w:val="002D7396"/>
    <w:rsid w:val="002E1D7F"/>
    <w:rsid w:val="002F4B53"/>
    <w:rsid w:val="002F62F4"/>
    <w:rsid w:val="00306392"/>
    <w:rsid w:val="00310151"/>
    <w:rsid w:val="00311AD5"/>
    <w:rsid w:val="00311F00"/>
    <w:rsid w:val="00313550"/>
    <w:rsid w:val="003170D0"/>
    <w:rsid w:val="003401C1"/>
    <w:rsid w:val="00340AE8"/>
    <w:rsid w:val="003420A4"/>
    <w:rsid w:val="00351007"/>
    <w:rsid w:val="00357958"/>
    <w:rsid w:val="0036353F"/>
    <w:rsid w:val="00364773"/>
    <w:rsid w:val="003831F1"/>
    <w:rsid w:val="003853D0"/>
    <w:rsid w:val="00385DD0"/>
    <w:rsid w:val="00391D78"/>
    <w:rsid w:val="003926BF"/>
    <w:rsid w:val="003A5D13"/>
    <w:rsid w:val="003A6C86"/>
    <w:rsid w:val="003B0443"/>
    <w:rsid w:val="003B154F"/>
    <w:rsid w:val="003B3367"/>
    <w:rsid w:val="003C0E25"/>
    <w:rsid w:val="003C464D"/>
    <w:rsid w:val="003C4A97"/>
    <w:rsid w:val="003C714E"/>
    <w:rsid w:val="003D67D3"/>
    <w:rsid w:val="003D6AD5"/>
    <w:rsid w:val="003D6E78"/>
    <w:rsid w:val="003F31DF"/>
    <w:rsid w:val="003F7E97"/>
    <w:rsid w:val="00401660"/>
    <w:rsid w:val="00402172"/>
    <w:rsid w:val="0040478C"/>
    <w:rsid w:val="00405A8F"/>
    <w:rsid w:val="00405B8C"/>
    <w:rsid w:val="00406618"/>
    <w:rsid w:val="00422B53"/>
    <w:rsid w:val="004415A3"/>
    <w:rsid w:val="00462F35"/>
    <w:rsid w:val="00465507"/>
    <w:rsid w:val="004714D0"/>
    <w:rsid w:val="004715D2"/>
    <w:rsid w:val="0049628B"/>
    <w:rsid w:val="00497149"/>
    <w:rsid w:val="00497158"/>
    <w:rsid w:val="004A4FC0"/>
    <w:rsid w:val="004A6723"/>
    <w:rsid w:val="004B1BB4"/>
    <w:rsid w:val="004B6111"/>
    <w:rsid w:val="004C11EE"/>
    <w:rsid w:val="004C364F"/>
    <w:rsid w:val="004E210D"/>
    <w:rsid w:val="004F56BF"/>
    <w:rsid w:val="00501A5C"/>
    <w:rsid w:val="0050702C"/>
    <w:rsid w:val="0051019B"/>
    <w:rsid w:val="00526E75"/>
    <w:rsid w:val="0053132C"/>
    <w:rsid w:val="0053391C"/>
    <w:rsid w:val="00534105"/>
    <w:rsid w:val="00545A22"/>
    <w:rsid w:val="00564749"/>
    <w:rsid w:val="0056681F"/>
    <w:rsid w:val="00574EA3"/>
    <w:rsid w:val="00574F3C"/>
    <w:rsid w:val="00595BD2"/>
    <w:rsid w:val="005A4F8E"/>
    <w:rsid w:val="005A7C06"/>
    <w:rsid w:val="005A7EAF"/>
    <w:rsid w:val="005B0EC4"/>
    <w:rsid w:val="005B2B10"/>
    <w:rsid w:val="005C49E1"/>
    <w:rsid w:val="005C4A1B"/>
    <w:rsid w:val="005C5838"/>
    <w:rsid w:val="005C7725"/>
    <w:rsid w:val="005D0480"/>
    <w:rsid w:val="005D4AA0"/>
    <w:rsid w:val="005D76C6"/>
    <w:rsid w:val="005E6B54"/>
    <w:rsid w:val="005E6B83"/>
    <w:rsid w:val="005F32FE"/>
    <w:rsid w:val="00605BA3"/>
    <w:rsid w:val="00607E3E"/>
    <w:rsid w:val="006135FE"/>
    <w:rsid w:val="00613975"/>
    <w:rsid w:val="0061456C"/>
    <w:rsid w:val="0062055C"/>
    <w:rsid w:val="0063436B"/>
    <w:rsid w:val="00641D92"/>
    <w:rsid w:val="00643707"/>
    <w:rsid w:val="0064387E"/>
    <w:rsid w:val="00644423"/>
    <w:rsid w:val="00646B86"/>
    <w:rsid w:val="00665369"/>
    <w:rsid w:val="006675A1"/>
    <w:rsid w:val="00680010"/>
    <w:rsid w:val="00680603"/>
    <w:rsid w:val="0068647E"/>
    <w:rsid w:val="006B12B6"/>
    <w:rsid w:val="006B2AA4"/>
    <w:rsid w:val="006B7F52"/>
    <w:rsid w:val="006D189B"/>
    <w:rsid w:val="006D7390"/>
    <w:rsid w:val="006F2160"/>
    <w:rsid w:val="006F5FB8"/>
    <w:rsid w:val="00700C15"/>
    <w:rsid w:val="007020B7"/>
    <w:rsid w:val="00707E5B"/>
    <w:rsid w:val="007176E4"/>
    <w:rsid w:val="00724BFC"/>
    <w:rsid w:val="0072683B"/>
    <w:rsid w:val="00730E55"/>
    <w:rsid w:val="00732967"/>
    <w:rsid w:val="007545E1"/>
    <w:rsid w:val="00780438"/>
    <w:rsid w:val="00786079"/>
    <w:rsid w:val="00787491"/>
    <w:rsid w:val="007922C8"/>
    <w:rsid w:val="00794281"/>
    <w:rsid w:val="007B22DF"/>
    <w:rsid w:val="007B4B45"/>
    <w:rsid w:val="007C1CC2"/>
    <w:rsid w:val="007C5937"/>
    <w:rsid w:val="007D3D92"/>
    <w:rsid w:val="007D3DEB"/>
    <w:rsid w:val="00804D5D"/>
    <w:rsid w:val="00827ED6"/>
    <w:rsid w:val="008346D7"/>
    <w:rsid w:val="00845C9B"/>
    <w:rsid w:val="008745FC"/>
    <w:rsid w:val="008A7B72"/>
    <w:rsid w:val="008B180F"/>
    <w:rsid w:val="008C5696"/>
    <w:rsid w:val="008C60BC"/>
    <w:rsid w:val="008D518A"/>
    <w:rsid w:val="008E7C14"/>
    <w:rsid w:val="008F253D"/>
    <w:rsid w:val="008F5872"/>
    <w:rsid w:val="00900018"/>
    <w:rsid w:val="009025D3"/>
    <w:rsid w:val="00910D27"/>
    <w:rsid w:val="00911553"/>
    <w:rsid w:val="00912ED1"/>
    <w:rsid w:val="00926EFE"/>
    <w:rsid w:val="009323D2"/>
    <w:rsid w:val="00953601"/>
    <w:rsid w:val="009667F7"/>
    <w:rsid w:val="0097259F"/>
    <w:rsid w:val="009A2B71"/>
    <w:rsid w:val="009A640E"/>
    <w:rsid w:val="009B32A9"/>
    <w:rsid w:val="009B33FA"/>
    <w:rsid w:val="009C113A"/>
    <w:rsid w:val="009C2CD3"/>
    <w:rsid w:val="009C7B88"/>
    <w:rsid w:val="009D0193"/>
    <w:rsid w:val="009D17E5"/>
    <w:rsid w:val="00A00932"/>
    <w:rsid w:val="00A01908"/>
    <w:rsid w:val="00A06C89"/>
    <w:rsid w:val="00A071F9"/>
    <w:rsid w:val="00A20EE5"/>
    <w:rsid w:val="00A33131"/>
    <w:rsid w:val="00A36539"/>
    <w:rsid w:val="00A42C59"/>
    <w:rsid w:val="00A62977"/>
    <w:rsid w:val="00A658E3"/>
    <w:rsid w:val="00A70FBD"/>
    <w:rsid w:val="00A717BA"/>
    <w:rsid w:val="00A766A5"/>
    <w:rsid w:val="00A8021C"/>
    <w:rsid w:val="00A81A37"/>
    <w:rsid w:val="00A90540"/>
    <w:rsid w:val="00A95251"/>
    <w:rsid w:val="00AA3AE9"/>
    <w:rsid w:val="00AA66A3"/>
    <w:rsid w:val="00AB53FE"/>
    <w:rsid w:val="00AC2442"/>
    <w:rsid w:val="00AD03C5"/>
    <w:rsid w:val="00AE0DF2"/>
    <w:rsid w:val="00AF5940"/>
    <w:rsid w:val="00B135FE"/>
    <w:rsid w:val="00B15A6F"/>
    <w:rsid w:val="00B43948"/>
    <w:rsid w:val="00B477B7"/>
    <w:rsid w:val="00B62758"/>
    <w:rsid w:val="00B62F1F"/>
    <w:rsid w:val="00B7109D"/>
    <w:rsid w:val="00B85BB0"/>
    <w:rsid w:val="00B9591B"/>
    <w:rsid w:val="00B97FC2"/>
    <w:rsid w:val="00BA4B27"/>
    <w:rsid w:val="00BA5979"/>
    <w:rsid w:val="00BA623F"/>
    <w:rsid w:val="00BB39AA"/>
    <w:rsid w:val="00BC2694"/>
    <w:rsid w:val="00BC63AC"/>
    <w:rsid w:val="00C10F43"/>
    <w:rsid w:val="00C245E5"/>
    <w:rsid w:val="00C274C9"/>
    <w:rsid w:val="00C331E2"/>
    <w:rsid w:val="00C47E99"/>
    <w:rsid w:val="00C55EC3"/>
    <w:rsid w:val="00C67CBF"/>
    <w:rsid w:val="00C72678"/>
    <w:rsid w:val="00C779CD"/>
    <w:rsid w:val="00C82415"/>
    <w:rsid w:val="00C82A10"/>
    <w:rsid w:val="00C854C5"/>
    <w:rsid w:val="00CA1838"/>
    <w:rsid w:val="00CA6C57"/>
    <w:rsid w:val="00CA73B9"/>
    <w:rsid w:val="00CB172D"/>
    <w:rsid w:val="00CB3214"/>
    <w:rsid w:val="00CC135A"/>
    <w:rsid w:val="00CC2D78"/>
    <w:rsid w:val="00CD3E42"/>
    <w:rsid w:val="00CE2343"/>
    <w:rsid w:val="00CF2741"/>
    <w:rsid w:val="00CF31B8"/>
    <w:rsid w:val="00CF6BD8"/>
    <w:rsid w:val="00CF7069"/>
    <w:rsid w:val="00D0684B"/>
    <w:rsid w:val="00D075C5"/>
    <w:rsid w:val="00D11808"/>
    <w:rsid w:val="00D3328B"/>
    <w:rsid w:val="00D423D5"/>
    <w:rsid w:val="00D619DE"/>
    <w:rsid w:val="00D67778"/>
    <w:rsid w:val="00D85A0E"/>
    <w:rsid w:val="00DA028F"/>
    <w:rsid w:val="00DA0C1E"/>
    <w:rsid w:val="00DA53B9"/>
    <w:rsid w:val="00DB19C2"/>
    <w:rsid w:val="00DC0EA5"/>
    <w:rsid w:val="00DC255C"/>
    <w:rsid w:val="00DC5BE9"/>
    <w:rsid w:val="00DC74A9"/>
    <w:rsid w:val="00DE1CC8"/>
    <w:rsid w:val="00DE57C3"/>
    <w:rsid w:val="00DF2DBA"/>
    <w:rsid w:val="00DF6EA8"/>
    <w:rsid w:val="00E00163"/>
    <w:rsid w:val="00E0137C"/>
    <w:rsid w:val="00E0322C"/>
    <w:rsid w:val="00E10C14"/>
    <w:rsid w:val="00E1196D"/>
    <w:rsid w:val="00E11B87"/>
    <w:rsid w:val="00E20DD6"/>
    <w:rsid w:val="00E217DE"/>
    <w:rsid w:val="00E242B7"/>
    <w:rsid w:val="00E316A5"/>
    <w:rsid w:val="00E37458"/>
    <w:rsid w:val="00E4263D"/>
    <w:rsid w:val="00E434E6"/>
    <w:rsid w:val="00E5060D"/>
    <w:rsid w:val="00E536C9"/>
    <w:rsid w:val="00E62C7E"/>
    <w:rsid w:val="00E7325F"/>
    <w:rsid w:val="00E9254C"/>
    <w:rsid w:val="00EA3993"/>
    <w:rsid w:val="00EB767A"/>
    <w:rsid w:val="00ED4848"/>
    <w:rsid w:val="00ED6A12"/>
    <w:rsid w:val="00ED6C56"/>
    <w:rsid w:val="00EE36C3"/>
    <w:rsid w:val="00EF5DDC"/>
    <w:rsid w:val="00EF6C76"/>
    <w:rsid w:val="00F0425E"/>
    <w:rsid w:val="00F246AE"/>
    <w:rsid w:val="00F274E5"/>
    <w:rsid w:val="00F46133"/>
    <w:rsid w:val="00F55FA6"/>
    <w:rsid w:val="00F646ED"/>
    <w:rsid w:val="00F70EB3"/>
    <w:rsid w:val="00F914C0"/>
    <w:rsid w:val="00F96976"/>
    <w:rsid w:val="00FA1373"/>
    <w:rsid w:val="00FA19EB"/>
    <w:rsid w:val="00FA1D94"/>
    <w:rsid w:val="00FB1F41"/>
    <w:rsid w:val="00FB5A83"/>
    <w:rsid w:val="00FC4A53"/>
    <w:rsid w:val="00FC5CBE"/>
    <w:rsid w:val="00FD3075"/>
    <w:rsid w:val="00FD4E3B"/>
    <w:rsid w:val="00FD74E4"/>
    <w:rsid w:val="00FD7B77"/>
    <w:rsid w:val="00FE0551"/>
    <w:rsid w:val="00FF153C"/>
    <w:rsid w:val="00FF5FB6"/>
    <w:rsid w:val="3FF50B80"/>
    <w:rsid w:val="567BE7F3"/>
    <w:rsid w:val="5CAF8F5E"/>
    <w:rsid w:val="63FF9BA3"/>
    <w:rsid w:val="6AC6455B"/>
    <w:rsid w:val="6F9C2817"/>
    <w:rsid w:val="6FBF79BC"/>
    <w:rsid w:val="6FE3B0F1"/>
    <w:rsid w:val="7B7B2218"/>
    <w:rsid w:val="7BFCB894"/>
    <w:rsid w:val="7E75C7C0"/>
    <w:rsid w:val="7FE9F2A6"/>
    <w:rsid w:val="7FFCB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B03F2"/>
  <w15:docId w15:val="{5F3D8B6C-579F-4A97-B3FD-173F5FEE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 w:qFormat="1"/>
    <w:lsdException w:name="header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pPr>
      <w:spacing w:after="200" w:line="276" w:lineRule="auto"/>
    </w:pPr>
  </w:style>
  <w:style w:type="paragraph" w:styleId="1">
    <w:name w:val="heading 1"/>
    <w:next w:val="a0"/>
    <w:link w:val="10"/>
    <w:uiPriority w:val="9"/>
    <w:qFormat/>
    <w:pPr>
      <w:keepNext/>
      <w:keepLines/>
      <w:numPr>
        <w:numId w:val="1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eastAsia="MS Mincho"/>
      <w:b/>
      <w:bCs/>
      <w:szCs w:val="24"/>
      <w:lang w:eastAsia="ja-JP"/>
    </w:rPr>
  </w:style>
  <w:style w:type="paragraph" w:styleId="2">
    <w:name w:val="heading 2"/>
    <w:basedOn w:val="1"/>
    <w:next w:val="a0"/>
    <w:link w:val="20"/>
    <w:uiPriority w:val="9"/>
    <w:qFormat/>
    <w:pPr>
      <w:numPr>
        <w:ilvl w:val="1"/>
      </w:numPr>
      <w:ind w:left="0" w:firstLine="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qFormat/>
    <w:rPr>
      <w:rFonts w:cs="Times New Roman"/>
      <w:color w:val="0066CC"/>
      <w:u w:val="single"/>
    </w:rPr>
  </w:style>
  <w:style w:type="paragraph" w:styleId="a7">
    <w:name w:val="Balloon Text"/>
    <w:basedOn w:val="a0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uiPriority w:val="35"/>
    <w:unhideWhenUsed/>
    <w:qFormat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iCs/>
      <w:szCs w:val="18"/>
    </w:rPr>
  </w:style>
  <w:style w:type="paragraph" w:styleId="aa">
    <w:name w:val="annotation text"/>
    <w:basedOn w:val="a0"/>
    <w:link w:val="ab"/>
    <w:uiPriority w:val="99"/>
    <w:semiHidden/>
    <w:unhideWhenUsed/>
    <w:qFormat/>
    <w:pPr>
      <w:spacing w:line="240" w:lineRule="auto"/>
    </w:pPr>
    <w:rPr>
      <w:sz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footnote text"/>
    <w:basedOn w:val="a0"/>
    <w:link w:val="af"/>
    <w:uiPriority w:val="99"/>
    <w:unhideWhenUsed/>
    <w:qFormat/>
    <w:pPr>
      <w:spacing w:after="0" w:line="240" w:lineRule="auto"/>
    </w:pPr>
    <w:rPr>
      <w:sz w:val="20"/>
    </w:rPr>
  </w:style>
  <w:style w:type="paragraph" w:styleId="af0">
    <w:name w:val="header"/>
    <w:basedOn w:val="a0"/>
    <w:link w:val="af1"/>
    <w:uiPriority w:val="99"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Cs w:val="24"/>
    </w:rPr>
  </w:style>
  <w:style w:type="paragraph" w:styleId="af2">
    <w:name w:val="Body Text"/>
    <w:basedOn w:val="a0"/>
    <w:link w:val="af3"/>
    <w:qFormat/>
    <w:pPr>
      <w:spacing w:after="120" w:line="240" w:lineRule="auto"/>
    </w:pPr>
    <w:rPr>
      <w:rFonts w:eastAsia="MS Mincho"/>
      <w:szCs w:val="24"/>
      <w:lang w:eastAsia="ja-JP"/>
    </w:rPr>
  </w:style>
  <w:style w:type="paragraph" w:styleId="af4">
    <w:name w:val="foot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0"/>
    <w:uiPriority w:val="99"/>
    <w:qFormat/>
    <w:pPr>
      <w:spacing w:after="0" w:line="240" w:lineRule="auto"/>
    </w:pPr>
    <w:rPr>
      <w:rFonts w:eastAsia="Times New Roman"/>
      <w:szCs w:val="24"/>
    </w:rPr>
  </w:style>
  <w:style w:type="table" w:styleId="af7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Текст сноски Знак"/>
    <w:basedOn w:val="a1"/>
    <w:link w:val="ae"/>
    <w:uiPriority w:val="99"/>
    <w:qFormat/>
    <w:rPr>
      <w:sz w:val="20"/>
      <w:szCs w:val="20"/>
    </w:rPr>
  </w:style>
  <w:style w:type="character" w:customStyle="1" w:styleId="af1">
    <w:name w:val="Верхний колонтитул Знак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1"/>
    <w:uiPriority w:val="99"/>
    <w:semiHidden/>
    <w:qFormat/>
  </w:style>
  <w:style w:type="character" w:customStyle="1" w:styleId="af5">
    <w:name w:val="Нижний колонтитул Знак"/>
    <w:basedOn w:val="a1"/>
    <w:link w:val="af4"/>
    <w:uiPriority w:val="99"/>
    <w:qFormat/>
  </w:style>
  <w:style w:type="character" w:customStyle="1" w:styleId="10">
    <w:name w:val="Заголовок 1 Знак"/>
    <w:basedOn w:val="a1"/>
    <w:link w:val="1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character" w:customStyle="1" w:styleId="Heading1Char">
    <w:name w:val="Heading 1 Char"/>
    <w:uiPriority w:val="99"/>
    <w:qFormat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1">
    <w:name w:val="Основной текст (2)_"/>
    <w:link w:val="210"/>
    <w:uiPriority w:val="99"/>
    <w:qFormat/>
    <w:locked/>
    <w:rPr>
      <w:rFonts w:ascii="Garamond" w:hAnsi="Garamond" w:cs="Garamond"/>
      <w:b/>
      <w:bCs/>
      <w:sz w:val="144"/>
      <w:szCs w:val="144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qFormat/>
    <w:pPr>
      <w:widowControl w:val="0"/>
      <w:shd w:val="clear" w:color="auto" w:fill="FFFFFF"/>
      <w:spacing w:after="0" w:line="365" w:lineRule="exact"/>
      <w:jc w:val="center"/>
    </w:pPr>
    <w:rPr>
      <w:rFonts w:ascii="Garamond" w:hAnsi="Garamond" w:cs="Garamond"/>
      <w:b/>
      <w:bCs/>
      <w:sz w:val="144"/>
      <w:szCs w:val="144"/>
    </w:rPr>
  </w:style>
  <w:style w:type="character" w:customStyle="1" w:styleId="22">
    <w:name w:val="Основной текст (2)"/>
    <w:uiPriority w:val="99"/>
    <w:qFormat/>
    <w:rPr>
      <w:rFonts w:ascii="Garamond" w:hAnsi="Garamond" w:cs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af8">
    <w:name w:val="Основной текст_"/>
    <w:link w:val="4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0"/>
    <w:link w:val="af8"/>
    <w:uiPriority w:val="99"/>
    <w:qFormat/>
    <w:pPr>
      <w:widowControl w:val="0"/>
      <w:shd w:val="clear" w:color="auto" w:fill="FFFFFF"/>
      <w:spacing w:after="0" w:line="365" w:lineRule="exact"/>
      <w:ind w:hanging="360"/>
      <w:jc w:val="center"/>
    </w:pPr>
    <w:rPr>
      <w:b/>
      <w:bCs/>
      <w:sz w:val="26"/>
      <w:szCs w:val="26"/>
    </w:rPr>
  </w:style>
  <w:style w:type="character" w:customStyle="1" w:styleId="3">
    <w:name w:val="Основной текст (3)_"/>
    <w:link w:val="31"/>
    <w:uiPriority w:val="99"/>
    <w:qFormat/>
    <w:locked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0"/>
    <w:link w:val="3"/>
    <w:uiPriority w:val="99"/>
    <w:qFormat/>
    <w:pPr>
      <w:widowControl w:val="0"/>
      <w:shd w:val="clear" w:color="auto" w:fill="FFFFFF"/>
      <w:spacing w:before="120" w:after="3060" w:line="240" w:lineRule="atLeast"/>
      <w:jc w:val="center"/>
    </w:pPr>
  </w:style>
  <w:style w:type="character" w:customStyle="1" w:styleId="12">
    <w:name w:val="Заголовок №1_"/>
    <w:link w:val="11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0"/>
    <w:link w:val="12"/>
    <w:uiPriority w:val="99"/>
    <w:qFormat/>
    <w:pPr>
      <w:widowControl w:val="0"/>
      <w:shd w:val="clear" w:color="auto" w:fill="FFFFFF"/>
      <w:spacing w:after="60" w:line="370" w:lineRule="exact"/>
      <w:jc w:val="center"/>
      <w:outlineLvl w:val="0"/>
    </w:pPr>
    <w:rPr>
      <w:b/>
      <w:bCs/>
      <w:sz w:val="26"/>
      <w:szCs w:val="26"/>
    </w:rPr>
  </w:style>
  <w:style w:type="character" w:customStyle="1" w:styleId="af9">
    <w:name w:val="Колонтитул_"/>
    <w:link w:val="13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Колонтитул1"/>
    <w:basedOn w:val="a0"/>
    <w:link w:val="af9"/>
    <w:uiPriority w:val="99"/>
    <w:qFormat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character" w:customStyle="1" w:styleId="11pt">
    <w:name w:val="Колонтитул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1pt0">
    <w:name w:val="Основной текст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a">
    <w:name w:val="Колонтитул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30">
    <w:name w:val="Колонтитул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Exact">
    <w:name w:val="Основной текст (3) Exact"/>
    <w:uiPriority w:val="99"/>
    <w:qFormat/>
    <w:rPr>
      <w:rFonts w:ascii="Times New Roman" w:hAnsi="Times New Roman" w:cs="Times New Roman"/>
      <w:spacing w:val="2"/>
      <w:sz w:val="20"/>
      <w:szCs w:val="20"/>
      <w:u w:val="none"/>
    </w:rPr>
  </w:style>
  <w:style w:type="character" w:customStyle="1" w:styleId="32">
    <w:name w:val="Основной текст (3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3Exact1">
    <w:name w:val="Основной текст (3) Exact1"/>
    <w:uiPriority w:val="99"/>
    <w:qFormat/>
    <w:rPr>
      <w:rFonts w:ascii="Times New Roman" w:hAnsi="Times New Roman" w:cs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40">
    <w:name w:val="Основной текст (4)_"/>
    <w:link w:val="41"/>
    <w:uiPriority w:val="99"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0"/>
    <w:link w:val="40"/>
    <w:uiPriority w:val="99"/>
    <w:qFormat/>
    <w:pPr>
      <w:widowControl w:val="0"/>
      <w:shd w:val="clear" w:color="auto" w:fill="FFFFFF"/>
      <w:spacing w:before="720" w:after="0" w:line="475" w:lineRule="exact"/>
      <w:jc w:val="both"/>
    </w:pPr>
    <w:rPr>
      <w:b/>
      <w:bCs/>
      <w:i/>
      <w:iCs/>
      <w:sz w:val="26"/>
      <w:szCs w:val="26"/>
    </w:rPr>
  </w:style>
  <w:style w:type="character" w:customStyle="1" w:styleId="afb">
    <w:name w:val="Основной текст + Курсив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5">
    <w:name w:val="Основной текст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c">
    <w:name w:val="Подпись к таблице_"/>
    <w:link w:val="16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">
    <w:name w:val="Подпись к таблице1"/>
    <w:basedOn w:val="a0"/>
    <w:link w:val="afc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17">
    <w:name w:val="Заголовок №1 +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3">
    <w:name w:val="Подпись к таблице (2)_"/>
    <w:link w:val="24"/>
    <w:uiPriority w:val="99"/>
    <w:qFormat/>
    <w:locked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4">
    <w:name w:val="Подпись к таблице (2)"/>
    <w:basedOn w:val="a0"/>
    <w:link w:val="23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19"/>
      <w:szCs w:val="19"/>
    </w:rPr>
  </w:style>
  <w:style w:type="character" w:customStyle="1" w:styleId="25">
    <w:name w:val="Подпись к таблице (2) + Не полужирный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Заголовок №1 (2)_"/>
    <w:link w:val="121"/>
    <w:uiPriority w:val="99"/>
    <w:qFormat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0"/>
    <w:link w:val="120"/>
    <w:uiPriority w:val="99"/>
    <w:qFormat/>
    <w:pPr>
      <w:widowControl w:val="0"/>
      <w:shd w:val="clear" w:color="auto" w:fill="FFFFFF"/>
      <w:spacing w:before="720" w:after="0" w:line="475" w:lineRule="exact"/>
      <w:outlineLvl w:val="0"/>
    </w:pPr>
    <w:rPr>
      <w:b/>
      <w:bCs/>
      <w:i/>
      <w:iCs/>
      <w:sz w:val="26"/>
      <w:szCs w:val="26"/>
    </w:rPr>
  </w:style>
  <w:style w:type="character" w:customStyle="1" w:styleId="8">
    <w:name w:val="Основной текст + 8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1">
    <w:name w:val="Основной текст + 81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pt1">
    <w:name w:val="Основной текст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2">
    <w:name w:val="Основной текст (4)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22">
    <w:name w:val="Заголовок №1 (2)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6">
    <w:name w:val="Основной текст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43">
    <w:name w:val="Основной текст (4) + Не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fd">
    <w:name w:val="Подпись к таблице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pt10">
    <w:name w:val="Колонтитул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8">
    <w:name w:val="Основной текст + Курсив1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3">
    <w:name w:val="Основной текст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7">
    <w:name w:val="Колонтитул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afe">
    <w:name w:val="ОбычныйТекст"/>
    <w:basedOn w:val="a0"/>
    <w:uiPriority w:val="99"/>
    <w:qFormat/>
    <w:pPr>
      <w:spacing w:after="0" w:line="360" w:lineRule="auto"/>
      <w:ind w:firstLine="720"/>
      <w:jc w:val="both"/>
    </w:pPr>
    <w:rPr>
      <w:rFonts w:eastAsia="Courier New"/>
      <w:sz w:val="28"/>
    </w:rPr>
  </w:style>
  <w:style w:type="character" w:customStyle="1" w:styleId="80">
    <w:name w:val="Основной текст (8)"/>
    <w:uiPriority w:val="99"/>
    <w:qFormat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810">
    <w:name w:val="Основной текст (8) + 10"/>
    <w:uiPriority w:val="99"/>
    <w:qFormat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">
    <w:name w:val="Body text_"/>
    <w:uiPriority w:val="99"/>
    <w:qFormat/>
    <w:rPr>
      <w:rFonts w:ascii="Times New Roman" w:hAnsi="Times New Roman" w:cs="Times New Roman"/>
      <w:sz w:val="26"/>
      <w:szCs w:val="26"/>
      <w:u w:val="none"/>
    </w:rPr>
  </w:style>
  <w:style w:type="character" w:customStyle="1" w:styleId="Bodytext11pt">
    <w:name w:val="Body text + 11 pt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7">
    <w:name w:val="Body text (7)_"/>
    <w:link w:val="Bodytext70"/>
    <w:uiPriority w:val="99"/>
    <w:locked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70">
    <w:name w:val="Body text (7)"/>
    <w:basedOn w:val="a0"/>
    <w:link w:val="Bodytext7"/>
    <w:uiPriority w:val="99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sz w:val="15"/>
      <w:szCs w:val="15"/>
    </w:rPr>
  </w:style>
  <w:style w:type="character" w:customStyle="1" w:styleId="Bodytext5">
    <w:name w:val="Body text (5)_"/>
    <w:link w:val="Bodytext5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50">
    <w:name w:val="Body text (5)"/>
    <w:basedOn w:val="a0"/>
    <w:link w:val="Bodytext5"/>
    <w:uiPriority w:val="99"/>
    <w:pPr>
      <w:widowControl w:val="0"/>
      <w:shd w:val="clear" w:color="auto" w:fill="FFFFFF"/>
      <w:spacing w:before="300" w:after="1080" w:line="317" w:lineRule="exact"/>
      <w:jc w:val="center"/>
    </w:pPr>
    <w:rPr>
      <w:b/>
      <w:bCs/>
      <w:sz w:val="26"/>
      <w:szCs w:val="26"/>
    </w:rPr>
  </w:style>
  <w:style w:type="character" w:customStyle="1" w:styleId="Heading2">
    <w:name w:val="Heading #2_"/>
    <w:link w:val="Heading20"/>
    <w:uiPriority w:val="99"/>
    <w:qFormat/>
    <w:locked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Heading20">
    <w:name w:val="Heading #2"/>
    <w:basedOn w:val="a0"/>
    <w:link w:val="Heading2"/>
    <w:uiPriority w:val="99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bCs/>
      <w:sz w:val="34"/>
      <w:szCs w:val="34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6">
    <w:name w:val="Body text (6)_"/>
    <w:uiPriority w:val="99"/>
    <w:rPr>
      <w:rFonts w:ascii="Times New Roman" w:hAnsi="Times New Roman" w:cs="Times New Roman"/>
      <w:u w:val="none"/>
    </w:rPr>
  </w:style>
  <w:style w:type="character" w:customStyle="1" w:styleId="Bodytext60">
    <w:name w:val="Body text (6)"/>
    <w:uiPriority w:val="9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10">
    <w:name w:val="Body text (10)_"/>
    <w:uiPriority w:val="99"/>
    <w:rPr>
      <w:rFonts w:ascii="Times New Roman" w:hAnsi="Times New Roman" w:cs="Times New Roman"/>
      <w:b/>
      <w:bCs/>
      <w:spacing w:val="10"/>
      <w:sz w:val="23"/>
      <w:szCs w:val="23"/>
      <w:u w:val="none"/>
    </w:rPr>
  </w:style>
  <w:style w:type="character" w:customStyle="1" w:styleId="Bodytext100">
    <w:name w:val="Body text (10)"/>
    <w:uiPriority w:val="99"/>
    <w:rPr>
      <w:rFonts w:ascii="Times New Roman" w:hAnsi="Times New Roman" w:cs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qFormat/>
    <w:pPr>
      <w:widowControl w:val="0"/>
      <w:shd w:val="clear" w:color="auto" w:fill="FFFFFF"/>
      <w:spacing w:after="0" w:line="288" w:lineRule="exact"/>
      <w:ind w:hanging="780"/>
      <w:jc w:val="center"/>
    </w:p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30">
    <w:name w:val="Heading #3"/>
    <w:basedOn w:val="a0"/>
    <w:link w:val="Heading3"/>
    <w:uiPriority w:val="99"/>
    <w:qFormat/>
    <w:pPr>
      <w:widowControl w:val="0"/>
      <w:shd w:val="clear" w:color="auto" w:fill="FFFFFF"/>
      <w:spacing w:before="300" w:after="300" w:line="240" w:lineRule="atLeast"/>
      <w:jc w:val="center"/>
      <w:outlineLvl w:val="2"/>
    </w:pPr>
    <w:rPr>
      <w:b/>
      <w:bCs/>
      <w:sz w:val="26"/>
      <w:szCs w:val="26"/>
    </w:rPr>
  </w:style>
  <w:style w:type="character" w:customStyle="1" w:styleId="Heading3NotBold">
    <w:name w:val="Heading #3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0"/>
    <w:link w:val="Tablecaption"/>
    <w:uiPriority w:val="99"/>
    <w:qFormat/>
    <w:pPr>
      <w:widowControl w:val="0"/>
      <w:shd w:val="clear" w:color="auto" w:fill="FFFFFF"/>
      <w:spacing w:after="0" w:line="322" w:lineRule="exact"/>
      <w:jc w:val="center"/>
    </w:pPr>
    <w:rPr>
      <w:b/>
      <w:bCs/>
      <w:sz w:val="23"/>
      <w:szCs w:val="23"/>
    </w:rPr>
  </w:style>
  <w:style w:type="character" w:customStyle="1" w:styleId="Bodytext11">
    <w:name w:val="Body text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ArialNarrow">
    <w:name w:val="Body text + Arial Narrow"/>
    <w:uiPriority w:val="99"/>
    <w:qFormat/>
    <w:rPr>
      <w:rFonts w:ascii="Arial Narrow" w:hAnsi="Arial Narrow" w:cs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2">
    <w:name w:val="Table caption (2)_"/>
    <w:uiPriority w:val="99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Tablecaption20">
    <w:name w:val="Table caption (2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Bold">
    <w:name w:val="Body text + Bold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ff">
    <w:name w:val="List Paragraph"/>
    <w:basedOn w:val="a0"/>
    <w:uiPriority w:val="34"/>
    <w:qFormat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Cs w:val="24"/>
    </w:rPr>
  </w:style>
  <w:style w:type="character" w:customStyle="1" w:styleId="Bodytext12">
    <w:name w:val="Body text (12)_"/>
    <w:uiPriority w:val="99"/>
    <w:qFormat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Bodytext120">
    <w:name w:val="Body text (12)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611">
    <w:name w:val="Body text (6)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Текст примечания Знак"/>
    <w:basedOn w:val="a1"/>
    <w:link w:val="aa"/>
    <w:uiPriority w:val="99"/>
    <w:semiHidden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</w:rPr>
  </w:style>
  <w:style w:type="paragraph" w:customStyle="1" w:styleId="19">
    <w:name w:val="Без интервала1"/>
    <w:qFormat/>
    <w:rPr>
      <w:rFonts w:eastAsia="Times New Roman"/>
      <w:szCs w:val="24"/>
    </w:rPr>
  </w:style>
  <w:style w:type="paragraph" w:customStyle="1" w:styleId="1a">
    <w:name w:val="Абзац списка1"/>
    <w:basedOn w:val="a0"/>
    <w:qFormat/>
    <w:pPr>
      <w:ind w:left="720"/>
    </w:pPr>
    <w:rPr>
      <w:rFonts w:ascii="Calibri" w:eastAsia="Times New Roman" w:hAnsi="Calibri"/>
    </w:rPr>
  </w:style>
  <w:style w:type="character" w:customStyle="1" w:styleId="af3">
    <w:name w:val="Основной текст Знак"/>
    <w:basedOn w:val="a1"/>
    <w:link w:val="af2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link w:val="2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paragraph" w:customStyle="1" w:styleId="aff0">
    <w:name w:val="Текст_прост"/>
    <w:basedOn w:val="a0"/>
    <w:link w:val="aff1"/>
    <w:qFormat/>
    <w:pPr>
      <w:widowControl w:val="0"/>
      <w:spacing w:after="0" w:line="240" w:lineRule="auto"/>
      <w:ind w:firstLine="709"/>
      <w:jc w:val="both"/>
    </w:pPr>
    <w:rPr>
      <w:rFonts w:eastAsia="Times New Roman"/>
      <w:szCs w:val="24"/>
    </w:rPr>
  </w:style>
  <w:style w:type="character" w:customStyle="1" w:styleId="aff1">
    <w:name w:val="Текст_прост Знак"/>
    <w:basedOn w:val="a1"/>
    <w:link w:val="aff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Прост текст без абз. отсупа"/>
    <w:basedOn w:val="aff0"/>
    <w:link w:val="aff3"/>
    <w:qFormat/>
    <w:pPr>
      <w:ind w:firstLine="0"/>
    </w:pPr>
  </w:style>
  <w:style w:type="character" w:customStyle="1" w:styleId="aff3">
    <w:name w:val="Прост текст без абз. отсупа Знак"/>
    <w:basedOn w:val="aff1"/>
    <w:link w:val="aff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_текст"/>
    <w:basedOn w:val="a0"/>
    <w:link w:val="aff4"/>
    <w:qFormat/>
    <w:pPr>
      <w:widowControl w:val="0"/>
      <w:numPr>
        <w:numId w:val="2"/>
      </w:numPr>
      <w:tabs>
        <w:tab w:val="left" w:pos="992"/>
      </w:tabs>
      <w:spacing w:after="120" w:line="240" w:lineRule="auto"/>
      <w:contextualSpacing/>
      <w:jc w:val="both"/>
    </w:pPr>
    <w:rPr>
      <w:rFonts w:eastAsia="Cambria"/>
      <w:spacing w:val="-4"/>
      <w:szCs w:val="24"/>
    </w:rPr>
  </w:style>
  <w:style w:type="character" w:customStyle="1" w:styleId="aff4">
    <w:name w:val="Марк_текст Знак"/>
    <w:basedOn w:val="a1"/>
    <w:link w:val="a"/>
    <w:qFormat/>
    <w:rPr>
      <w:rFonts w:ascii="Times New Roman" w:eastAsia="Cambria" w:hAnsi="Times New Roman" w:cs="Times New Roman"/>
      <w:spacing w:val="-4"/>
      <w:sz w:val="24"/>
      <w:szCs w:val="24"/>
      <w:lang w:eastAsia="ru-RU"/>
    </w:rPr>
  </w:style>
  <w:style w:type="paragraph" w:customStyle="1" w:styleId="aff5">
    <w:name w:val="Название объекта центр"/>
    <w:basedOn w:val="a9"/>
    <w:link w:val="aff6"/>
    <w:qFormat/>
    <w:pPr>
      <w:spacing w:after="120"/>
    </w:pPr>
    <w:rPr>
      <w:b/>
    </w:rPr>
  </w:style>
  <w:style w:type="character" w:customStyle="1" w:styleId="aff6">
    <w:name w:val="Название объекта центр Знак"/>
    <w:basedOn w:val="a1"/>
    <w:link w:val="aff5"/>
    <w:qFormat/>
    <w:rPr>
      <w:rFonts w:ascii="Times New Roman" w:eastAsia="Times New Roman" w:hAnsi="Times New Roman" w:cs="Times New Roman"/>
      <w:b/>
      <w:iCs/>
      <w:sz w:val="24"/>
      <w:szCs w:val="18"/>
      <w:lang w:eastAsia="ru-RU"/>
    </w:rPr>
  </w:style>
  <w:style w:type="paragraph" w:customStyle="1" w:styleId="aff7">
    <w:name w:val="Шапка_табл"/>
    <w:link w:val="aff8"/>
    <w:qFormat/>
    <w:pPr>
      <w:suppressAutoHyphens/>
      <w:ind w:firstLine="11"/>
      <w:jc w:val="center"/>
    </w:pPr>
    <w:rPr>
      <w:rFonts w:eastAsia="MS Mincho"/>
      <w:b/>
      <w:spacing w:val="-6"/>
      <w:sz w:val="16"/>
      <w:szCs w:val="16"/>
      <w:lang w:eastAsia="ja-JP"/>
    </w:rPr>
  </w:style>
  <w:style w:type="character" w:customStyle="1" w:styleId="aff8">
    <w:name w:val="Шапка_табл Знак"/>
    <w:basedOn w:val="af3"/>
    <w:link w:val="aff7"/>
    <w:qFormat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7789</Words>
  <Characters>44400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User</cp:lastModifiedBy>
  <cp:revision>3</cp:revision>
  <cp:lastPrinted>2019-08-28T16:58:00Z</cp:lastPrinted>
  <dcterms:created xsi:type="dcterms:W3CDTF">2025-11-12T02:23:00Z</dcterms:created>
  <dcterms:modified xsi:type="dcterms:W3CDTF">2025-11-15T19:50:00Z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